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Pr="00E775B0" w:rsidRDefault="002E5F5B" w:rsidP="00E775B0">
      <w:r>
        <w:rPr>
          <w:noProof/>
          <w:lang w:eastAsia="en-AU"/>
        </w:rPr>
        <w:drawing>
          <wp:inline distT="0" distB="0" distL="0" distR="0" wp14:anchorId="2AA218D7" wp14:editId="2AA218D8">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rsidR="00486624" w:rsidRPr="00607EC2" w:rsidRDefault="00486624" w:rsidP="00486624">
      <w:pPr>
        <w:pStyle w:val="Flyerheadline"/>
      </w:pPr>
      <w:r>
        <w:t xml:space="preserve">Working with medicines </w:t>
      </w:r>
    </w:p>
    <w:p w:rsidR="00486624" w:rsidRPr="00AD3D6F" w:rsidRDefault="00486624" w:rsidP="00486624">
      <w:pPr>
        <w:pStyle w:val="Heading1"/>
      </w:pPr>
      <w:r>
        <w:t xml:space="preserve">Medical Practitioners </w:t>
      </w:r>
    </w:p>
    <w:p w:rsidR="00486624" w:rsidRPr="00517F10" w:rsidRDefault="00486624" w:rsidP="00486624">
      <w:pPr>
        <w:pStyle w:val="Heading2"/>
      </w:pPr>
      <w:r>
        <w:t>Regulations</w:t>
      </w:r>
    </w:p>
    <w:p w:rsidR="00486624" w:rsidRDefault="00486624" w:rsidP="00486624">
      <w:pPr>
        <w:pStyle w:val="Copy"/>
        <w:rPr>
          <w:bCs/>
        </w:rPr>
      </w:pPr>
      <w:r>
        <w:rPr>
          <w:bCs/>
        </w:rPr>
        <w:t xml:space="preserve">Medical practitioners, registered with the national board, have various authorities under the Medicines and Poisons Regulations 2016 to purchase, hold and use prescription medicines. </w:t>
      </w:r>
    </w:p>
    <w:p w:rsidR="00486624" w:rsidRDefault="00486624" w:rsidP="00486624">
      <w:pPr>
        <w:pStyle w:val="Heading2"/>
      </w:pPr>
      <w:r>
        <w:t>Authority</w:t>
      </w:r>
    </w:p>
    <w:p w:rsidR="00486624" w:rsidRPr="00815B1E" w:rsidRDefault="00486624" w:rsidP="00486624">
      <w:pPr>
        <w:pStyle w:val="Copy"/>
      </w:pPr>
      <w:r>
        <w:t>The following table outlines the authority of medical practitioners to use medicines under the Regulations:</w:t>
      </w:r>
    </w:p>
    <w:tbl>
      <w:tblPr>
        <w:tblpPr w:leftFromText="180" w:rightFromText="180" w:vertAnchor="text" w:horzAnchor="margin" w:tblpY="101"/>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496"/>
        <w:gridCol w:w="1497"/>
        <w:gridCol w:w="1497"/>
        <w:gridCol w:w="1497"/>
        <w:gridCol w:w="1497"/>
      </w:tblGrid>
      <w:tr w:rsidR="00486624" w:rsidRPr="00AE5E90" w:rsidTr="00CE6AE2">
        <w:trPr>
          <w:tblHeader/>
        </w:trPr>
        <w:tc>
          <w:tcPr>
            <w:tcW w:w="2410" w:type="dxa"/>
            <w:vMerge w:val="restart"/>
            <w:shd w:val="clear" w:color="auto" w:fill="FFFFFF"/>
            <w:vAlign w:val="center"/>
          </w:tcPr>
          <w:p w:rsidR="00486624" w:rsidRPr="008F28B0" w:rsidRDefault="00486624" w:rsidP="00CE6AE2">
            <w:pPr>
              <w:jc w:val="center"/>
              <w:rPr>
                <w:b/>
                <w:lang w:eastAsia="en-AU"/>
              </w:rPr>
            </w:pPr>
            <w:r w:rsidRPr="008F28B0">
              <w:rPr>
                <w:b/>
                <w:lang w:eastAsia="en-AU"/>
              </w:rPr>
              <w:t>Practitioner</w:t>
            </w:r>
          </w:p>
        </w:tc>
        <w:tc>
          <w:tcPr>
            <w:tcW w:w="7484" w:type="dxa"/>
            <w:gridSpan w:val="5"/>
            <w:shd w:val="clear" w:color="auto" w:fill="FFFFFF"/>
            <w:vAlign w:val="center"/>
          </w:tcPr>
          <w:p w:rsidR="00486624" w:rsidRPr="008F28B0" w:rsidRDefault="00486624" w:rsidP="00CE6AE2">
            <w:pPr>
              <w:jc w:val="center"/>
              <w:rPr>
                <w:b/>
                <w:lang w:eastAsia="en-AU"/>
              </w:rPr>
            </w:pPr>
            <w:r w:rsidRPr="008F28B0">
              <w:rPr>
                <w:b/>
                <w:lang w:eastAsia="en-AU"/>
              </w:rPr>
              <w:t>Type of Authority</w:t>
            </w:r>
          </w:p>
        </w:tc>
      </w:tr>
      <w:tr w:rsidR="00486624" w:rsidRPr="00AE5E90" w:rsidTr="00CE6AE2">
        <w:trPr>
          <w:tblHeader/>
        </w:trPr>
        <w:tc>
          <w:tcPr>
            <w:tcW w:w="2410" w:type="dxa"/>
            <w:vMerge/>
            <w:shd w:val="clear" w:color="auto" w:fill="FFFFFF"/>
            <w:vAlign w:val="center"/>
          </w:tcPr>
          <w:p w:rsidR="00486624" w:rsidRPr="008F28B0" w:rsidRDefault="00486624" w:rsidP="00CE6AE2">
            <w:pPr>
              <w:jc w:val="center"/>
              <w:rPr>
                <w:b/>
                <w:lang w:eastAsia="en-AU"/>
              </w:rPr>
            </w:pPr>
          </w:p>
        </w:tc>
        <w:tc>
          <w:tcPr>
            <w:tcW w:w="1496" w:type="dxa"/>
            <w:shd w:val="clear" w:color="auto" w:fill="FFFFFF"/>
            <w:vAlign w:val="center"/>
          </w:tcPr>
          <w:p w:rsidR="00486624" w:rsidRPr="008F28B0" w:rsidRDefault="00486624" w:rsidP="00CE6AE2">
            <w:pPr>
              <w:ind w:left="-108" w:right="-115"/>
              <w:jc w:val="center"/>
              <w:rPr>
                <w:b/>
                <w:lang w:eastAsia="en-AU"/>
              </w:rPr>
            </w:pPr>
            <w:r w:rsidRPr="008F28B0">
              <w:rPr>
                <w:b/>
                <w:lang w:eastAsia="en-AU"/>
              </w:rPr>
              <w:t>Obtain (purchase)</w:t>
            </w:r>
          </w:p>
        </w:tc>
        <w:tc>
          <w:tcPr>
            <w:tcW w:w="1497" w:type="dxa"/>
            <w:shd w:val="clear" w:color="auto" w:fill="FFFFFF"/>
            <w:vAlign w:val="center"/>
          </w:tcPr>
          <w:p w:rsidR="00486624" w:rsidRPr="008F28B0" w:rsidRDefault="00486624" w:rsidP="00CE6AE2">
            <w:pPr>
              <w:jc w:val="center"/>
              <w:rPr>
                <w:b/>
                <w:lang w:eastAsia="en-AU"/>
              </w:rPr>
            </w:pPr>
            <w:r w:rsidRPr="008F28B0">
              <w:rPr>
                <w:b/>
                <w:lang w:eastAsia="en-AU"/>
              </w:rPr>
              <w:t>Possess</w:t>
            </w:r>
          </w:p>
        </w:tc>
        <w:tc>
          <w:tcPr>
            <w:tcW w:w="1497" w:type="dxa"/>
            <w:shd w:val="clear" w:color="auto" w:fill="FFFFFF"/>
            <w:vAlign w:val="center"/>
          </w:tcPr>
          <w:p w:rsidR="00486624" w:rsidRPr="008F28B0" w:rsidRDefault="00486624" w:rsidP="00CE6AE2">
            <w:pPr>
              <w:jc w:val="center"/>
              <w:rPr>
                <w:b/>
                <w:lang w:eastAsia="en-AU"/>
              </w:rPr>
            </w:pPr>
            <w:r w:rsidRPr="008F28B0">
              <w:rPr>
                <w:b/>
                <w:lang w:eastAsia="en-AU"/>
              </w:rPr>
              <w:t>Administer</w:t>
            </w:r>
          </w:p>
        </w:tc>
        <w:tc>
          <w:tcPr>
            <w:tcW w:w="1497" w:type="dxa"/>
            <w:shd w:val="clear" w:color="auto" w:fill="FFFFFF"/>
            <w:vAlign w:val="center"/>
          </w:tcPr>
          <w:p w:rsidR="00486624" w:rsidRPr="008F28B0" w:rsidRDefault="00486624" w:rsidP="00CE6AE2">
            <w:pPr>
              <w:jc w:val="center"/>
              <w:rPr>
                <w:b/>
                <w:lang w:eastAsia="en-AU"/>
              </w:rPr>
            </w:pPr>
            <w:r w:rsidRPr="008F28B0">
              <w:rPr>
                <w:b/>
                <w:lang w:eastAsia="en-AU"/>
              </w:rPr>
              <w:t>Supply</w:t>
            </w:r>
          </w:p>
        </w:tc>
        <w:tc>
          <w:tcPr>
            <w:tcW w:w="1497" w:type="dxa"/>
            <w:shd w:val="clear" w:color="auto" w:fill="FFFFFF"/>
            <w:vAlign w:val="center"/>
          </w:tcPr>
          <w:p w:rsidR="00486624" w:rsidRPr="008F28B0" w:rsidRDefault="00486624" w:rsidP="00CE6AE2">
            <w:pPr>
              <w:jc w:val="center"/>
              <w:rPr>
                <w:b/>
                <w:lang w:eastAsia="en-AU"/>
              </w:rPr>
            </w:pPr>
            <w:r w:rsidRPr="008F28B0">
              <w:rPr>
                <w:b/>
                <w:lang w:eastAsia="en-AU"/>
              </w:rPr>
              <w:t>Prescribe</w:t>
            </w:r>
          </w:p>
        </w:tc>
      </w:tr>
      <w:tr w:rsidR="00486624" w:rsidRPr="00AE5E90" w:rsidTr="00CE6AE2">
        <w:tc>
          <w:tcPr>
            <w:tcW w:w="2410" w:type="dxa"/>
            <w:vAlign w:val="center"/>
          </w:tcPr>
          <w:p w:rsidR="00486624" w:rsidRPr="00654160" w:rsidRDefault="00486624" w:rsidP="00CE6AE2">
            <w:pPr>
              <w:jc w:val="center"/>
              <w:rPr>
                <w:lang w:eastAsia="en-AU"/>
              </w:rPr>
            </w:pPr>
            <w:r>
              <w:rPr>
                <w:lang w:eastAsia="en-AU"/>
              </w:rPr>
              <w:t xml:space="preserve">Medical practitioner </w:t>
            </w:r>
          </w:p>
        </w:tc>
        <w:tc>
          <w:tcPr>
            <w:tcW w:w="1496" w:type="dxa"/>
            <w:vAlign w:val="center"/>
          </w:tcPr>
          <w:p w:rsidR="00486624" w:rsidRPr="00654160" w:rsidRDefault="00486624" w:rsidP="00CE6AE2">
            <w:pPr>
              <w:jc w:val="center"/>
              <w:rPr>
                <w:lang w:eastAsia="en-AU"/>
              </w:rPr>
            </w:pPr>
            <w:r>
              <w:rPr>
                <w:lang w:eastAsia="en-AU"/>
              </w:rPr>
              <w:sym w:font="Wingdings 2" w:char="F050"/>
            </w:r>
          </w:p>
        </w:tc>
        <w:tc>
          <w:tcPr>
            <w:tcW w:w="1497" w:type="dxa"/>
            <w:vAlign w:val="center"/>
          </w:tcPr>
          <w:p w:rsidR="00486624" w:rsidRPr="00654160" w:rsidRDefault="00486624" w:rsidP="00CE6AE2">
            <w:pPr>
              <w:jc w:val="center"/>
              <w:rPr>
                <w:lang w:eastAsia="en-AU"/>
              </w:rPr>
            </w:pPr>
            <w:r>
              <w:rPr>
                <w:lang w:eastAsia="en-AU"/>
              </w:rPr>
              <w:sym w:font="Wingdings 2" w:char="F050"/>
            </w:r>
          </w:p>
        </w:tc>
        <w:tc>
          <w:tcPr>
            <w:tcW w:w="1497" w:type="dxa"/>
            <w:vAlign w:val="center"/>
          </w:tcPr>
          <w:p w:rsidR="00486624" w:rsidRPr="00654160" w:rsidRDefault="00486624" w:rsidP="00CE6AE2">
            <w:pPr>
              <w:jc w:val="center"/>
              <w:rPr>
                <w:lang w:eastAsia="en-AU"/>
              </w:rPr>
            </w:pPr>
            <w:r>
              <w:rPr>
                <w:lang w:eastAsia="en-AU"/>
              </w:rPr>
              <w:sym w:font="Wingdings 2" w:char="F050"/>
            </w:r>
          </w:p>
        </w:tc>
        <w:tc>
          <w:tcPr>
            <w:tcW w:w="1497" w:type="dxa"/>
            <w:vAlign w:val="center"/>
          </w:tcPr>
          <w:p w:rsidR="00486624" w:rsidRPr="00654160" w:rsidRDefault="00486624" w:rsidP="00CE6AE2">
            <w:pPr>
              <w:jc w:val="center"/>
              <w:rPr>
                <w:lang w:eastAsia="en-AU"/>
              </w:rPr>
            </w:pPr>
            <w:r>
              <w:rPr>
                <w:lang w:eastAsia="en-AU"/>
              </w:rPr>
              <w:sym w:font="Wingdings 2" w:char="F050"/>
            </w:r>
          </w:p>
        </w:tc>
        <w:tc>
          <w:tcPr>
            <w:tcW w:w="1497" w:type="dxa"/>
            <w:vAlign w:val="center"/>
          </w:tcPr>
          <w:p w:rsidR="00486624" w:rsidRPr="00654160" w:rsidRDefault="00486624" w:rsidP="00CE6AE2">
            <w:pPr>
              <w:jc w:val="center"/>
              <w:rPr>
                <w:lang w:eastAsia="en-AU"/>
              </w:rPr>
            </w:pPr>
            <w:r>
              <w:rPr>
                <w:lang w:eastAsia="en-AU"/>
              </w:rPr>
              <w:sym w:font="Wingdings 2" w:char="F050"/>
            </w:r>
          </w:p>
        </w:tc>
      </w:tr>
    </w:tbl>
    <w:p w:rsidR="00486624" w:rsidRDefault="00486624" w:rsidP="00486624">
      <w:pPr>
        <w:pStyle w:val="Copy"/>
      </w:pPr>
    </w:p>
    <w:p w:rsidR="00486624" w:rsidRDefault="00486624" w:rsidP="00486624">
      <w:pPr>
        <w:pStyle w:val="Copy"/>
      </w:pPr>
    </w:p>
    <w:p w:rsidR="00486624" w:rsidRDefault="00486624" w:rsidP="00486624">
      <w:pPr>
        <w:pStyle w:val="Copy"/>
      </w:pPr>
    </w:p>
    <w:p w:rsidR="00486624" w:rsidRDefault="00486624" w:rsidP="00486624">
      <w:pPr>
        <w:pStyle w:val="Copy"/>
      </w:pPr>
    </w:p>
    <w:p w:rsidR="00486624" w:rsidRDefault="00486624" w:rsidP="00486624">
      <w:pPr>
        <w:pStyle w:val="Copy"/>
      </w:pPr>
    </w:p>
    <w:p w:rsidR="00486624" w:rsidRDefault="00486624" w:rsidP="00486624">
      <w:pPr>
        <w:pStyle w:val="Copy"/>
      </w:pPr>
      <w:r>
        <w:t>Any authority is limited to the lawful practice of the professional and includes:</w:t>
      </w:r>
    </w:p>
    <w:p w:rsidR="00486624" w:rsidRDefault="00486624" w:rsidP="00486624">
      <w:pPr>
        <w:pStyle w:val="Copy"/>
        <w:numPr>
          <w:ilvl w:val="0"/>
          <w:numId w:val="2"/>
        </w:numPr>
      </w:pPr>
      <w:r>
        <w:t xml:space="preserve">within scope of practice / general professional limitations; </w:t>
      </w:r>
    </w:p>
    <w:p w:rsidR="00486624" w:rsidRDefault="00486624" w:rsidP="00486624">
      <w:pPr>
        <w:pStyle w:val="Copy"/>
        <w:numPr>
          <w:ilvl w:val="0"/>
          <w:numId w:val="2"/>
        </w:numPr>
      </w:pPr>
      <w:r>
        <w:t xml:space="preserve">for </w:t>
      </w:r>
      <w:r w:rsidRPr="00B24D18">
        <w:t xml:space="preserve">patients under </w:t>
      </w:r>
      <w:r>
        <w:t xml:space="preserve">the </w:t>
      </w:r>
      <w:r w:rsidRPr="00B24D18">
        <w:t>care</w:t>
      </w:r>
      <w:r>
        <w:t xml:space="preserve"> of the health practitioner;</w:t>
      </w:r>
    </w:p>
    <w:p w:rsidR="00486624" w:rsidRDefault="00486624" w:rsidP="00486624">
      <w:pPr>
        <w:pStyle w:val="Copy"/>
        <w:numPr>
          <w:ilvl w:val="0"/>
          <w:numId w:val="2"/>
        </w:numPr>
      </w:pPr>
      <w:r>
        <w:t>at usual place of business or patient’s place of residence (for home visits);</w:t>
      </w:r>
    </w:p>
    <w:p w:rsidR="00486624" w:rsidRDefault="00486624" w:rsidP="00486624">
      <w:pPr>
        <w:pStyle w:val="Copy"/>
        <w:numPr>
          <w:ilvl w:val="0"/>
          <w:numId w:val="2"/>
        </w:numPr>
      </w:pPr>
      <w:r>
        <w:t xml:space="preserve">in the course </w:t>
      </w:r>
      <w:r w:rsidRPr="00B24D18">
        <w:t xml:space="preserve">of </w:t>
      </w:r>
      <w:r>
        <w:t xml:space="preserve">operating </w:t>
      </w:r>
      <w:r w:rsidRPr="00B24D18">
        <w:t xml:space="preserve">the </w:t>
      </w:r>
      <w:r>
        <w:t xml:space="preserve">practitioner’s </w:t>
      </w:r>
      <w:r w:rsidRPr="00B24D18">
        <w:t xml:space="preserve">business </w:t>
      </w:r>
      <w:r>
        <w:t>/ as part of employment; and</w:t>
      </w:r>
    </w:p>
    <w:p w:rsidR="00486624" w:rsidRDefault="00486624" w:rsidP="00486624">
      <w:pPr>
        <w:pStyle w:val="Copy"/>
        <w:numPr>
          <w:ilvl w:val="0"/>
          <w:numId w:val="2"/>
        </w:numPr>
      </w:pPr>
      <w:proofErr w:type="gramStart"/>
      <w:r>
        <w:t>any</w:t>
      </w:r>
      <w:proofErr w:type="gramEnd"/>
      <w:r>
        <w:t xml:space="preserve"> relevant restrictions or conditions imposed on the individual practitioner.</w:t>
      </w:r>
    </w:p>
    <w:p w:rsidR="00486624" w:rsidRDefault="00486624" w:rsidP="00486624">
      <w:pPr>
        <w:pStyle w:val="Heading2"/>
      </w:pPr>
      <w:r>
        <w:t>Purchasing medicines</w:t>
      </w:r>
    </w:p>
    <w:p w:rsidR="00486624" w:rsidRDefault="00486624" w:rsidP="00486624">
      <w:pPr>
        <w:rPr>
          <w:lang w:val="en-US"/>
        </w:rPr>
      </w:pPr>
      <w:r>
        <w:rPr>
          <w:lang w:val="en-US"/>
        </w:rPr>
        <w:t xml:space="preserve">Medical practitioners may purchase medicines in their own name, for the </w:t>
      </w:r>
      <w:r w:rsidRPr="00B24D18">
        <w:t xml:space="preserve">treatment of patients under </w:t>
      </w:r>
      <w:r>
        <w:t xml:space="preserve">their </w:t>
      </w:r>
      <w:r w:rsidRPr="00B24D18">
        <w:t>care</w:t>
      </w:r>
      <w:r>
        <w:rPr>
          <w:lang w:val="en-US"/>
        </w:rPr>
        <w:t xml:space="preserve">.  A Permit is required to purchase medicines in name of a business, or where inventory will be shared between multiple medical practitioners.  </w:t>
      </w:r>
    </w:p>
    <w:p w:rsidR="00486624" w:rsidRDefault="00486624" w:rsidP="00486624">
      <w:pPr>
        <w:pStyle w:val="Heading2"/>
      </w:pPr>
      <w:r>
        <w:t>Supply and prescription</w:t>
      </w:r>
    </w:p>
    <w:p w:rsidR="00486624" w:rsidRDefault="00486624" w:rsidP="00486624">
      <w:r>
        <w:t>Medical practitioners may personally prescribe or supply a Schedule 4 (</w:t>
      </w:r>
      <w:proofErr w:type="spellStart"/>
      <w:r>
        <w:t>S4</w:t>
      </w:r>
      <w:proofErr w:type="spellEnd"/>
      <w:r>
        <w:t>) or Schedule 8 (</w:t>
      </w:r>
      <w:proofErr w:type="spellStart"/>
      <w:r>
        <w:t>S8</w:t>
      </w:r>
      <w:proofErr w:type="spellEnd"/>
      <w:r>
        <w:t xml:space="preserve">) medicine in accordance with their authority. Any medicine supplied must be appropriately packaged and fully labelled according to regulations. </w:t>
      </w:r>
    </w:p>
    <w:p w:rsidR="00486624" w:rsidRPr="00475EAA" w:rsidRDefault="00486624" w:rsidP="00486624">
      <w:pPr>
        <w:ind w:right="53"/>
      </w:pPr>
      <w:r>
        <w:t xml:space="preserve">A medical practitioner may personally direct another authorised health practitioner (e.g. registered nurse) to administer a </w:t>
      </w:r>
      <w:proofErr w:type="spellStart"/>
      <w:r>
        <w:t>S4</w:t>
      </w:r>
      <w:proofErr w:type="spellEnd"/>
      <w:r>
        <w:t xml:space="preserve"> or </w:t>
      </w:r>
      <w:proofErr w:type="spellStart"/>
      <w:r>
        <w:t>S8</w:t>
      </w:r>
      <w:proofErr w:type="spellEnd"/>
      <w:r>
        <w:t xml:space="preserve"> medicine. Direction may be written or verbal, and provided through electronic or telephone means. The details of any direction issued must however, be recorded in </w:t>
      </w:r>
      <w:r>
        <w:lastRenderedPageBreak/>
        <w:t>writing, in the patient’s clinical record, within 24 hours of being given. In a hospital, this direction is to be recorded on an approved medication chart.</w:t>
      </w:r>
    </w:p>
    <w:p w:rsidR="00486624" w:rsidRDefault="00486624" w:rsidP="00486624">
      <w:r>
        <w:t>A medical practitioner may issue a Structured Administration and Supply Arrangement (</w:t>
      </w:r>
      <w:proofErr w:type="spellStart"/>
      <w:r>
        <w:t>SASA</w:t>
      </w:r>
      <w:proofErr w:type="spellEnd"/>
      <w:r>
        <w:t xml:space="preserve">) that permits another authorised health practitioner under their employment, to supply or administer a </w:t>
      </w:r>
      <w:proofErr w:type="spellStart"/>
      <w:r>
        <w:t>S4</w:t>
      </w:r>
      <w:proofErr w:type="spellEnd"/>
      <w:r>
        <w:t xml:space="preserve"> medicine, for acute treatment or public health. Usual Regulations for packaging, labelling, storage and recording of </w:t>
      </w:r>
      <w:proofErr w:type="spellStart"/>
      <w:r>
        <w:t>S4</w:t>
      </w:r>
      <w:proofErr w:type="spellEnd"/>
      <w:r>
        <w:t xml:space="preserve"> medicines continue to apply in full.  </w:t>
      </w:r>
    </w:p>
    <w:p w:rsidR="00486624" w:rsidRDefault="00486624" w:rsidP="00486624">
      <w:r>
        <w:t xml:space="preserve">Medical practitioners </w:t>
      </w:r>
      <w:r w:rsidRPr="0080646C">
        <w:t>may prescribe</w:t>
      </w:r>
      <w:r>
        <w:t xml:space="preserve"> </w:t>
      </w:r>
      <w:proofErr w:type="spellStart"/>
      <w:r>
        <w:t>S8</w:t>
      </w:r>
      <w:proofErr w:type="spellEnd"/>
      <w:r w:rsidRPr="0080646C">
        <w:t xml:space="preserve"> medicines</w:t>
      </w:r>
      <w:r>
        <w:t xml:space="preserve"> which meet the criteria of the </w:t>
      </w:r>
      <w:r w:rsidRPr="00815B1E">
        <w:rPr>
          <w:i/>
        </w:rPr>
        <w:t>Schedule 8 Medicines Prescribing Code</w:t>
      </w:r>
      <w:r>
        <w:t xml:space="preserve">. Schedule 8 prescribing that does not meet the criteria of the Code (very high dose, off-label, </w:t>
      </w:r>
      <w:proofErr w:type="spellStart"/>
      <w:r>
        <w:t>etc</w:t>
      </w:r>
      <w:proofErr w:type="spellEnd"/>
      <w:r>
        <w:t xml:space="preserve">) requires the </w:t>
      </w:r>
      <w:r w:rsidRPr="0080646C">
        <w:t xml:space="preserve">prior written </w:t>
      </w:r>
      <w:r>
        <w:t>approval of t</w:t>
      </w:r>
      <w:r w:rsidRPr="0080646C">
        <w:t xml:space="preserve">he </w:t>
      </w:r>
      <w:r>
        <w:t>Department</w:t>
      </w:r>
      <w:r w:rsidRPr="0080646C">
        <w:t xml:space="preserve"> of Health.</w:t>
      </w:r>
      <w:r>
        <w:t xml:space="preserve"> </w:t>
      </w:r>
    </w:p>
    <w:p w:rsidR="00486624" w:rsidRDefault="00486624" w:rsidP="00486624">
      <w:r>
        <w:t xml:space="preserve">Specific approvals are required to prescribe opioid pharmacotherapy for the treatment of dependence, stimulants and cannabis-based products. Medical practitioners </w:t>
      </w:r>
      <w:r w:rsidRPr="00475EAA">
        <w:t xml:space="preserve">should be aware of </w:t>
      </w:r>
      <w:r>
        <w:t xml:space="preserve">the </w:t>
      </w:r>
      <w:r w:rsidRPr="00475EAA">
        <w:t>obligations of prescribers in relation to drug dependent and oversupplied persons.</w:t>
      </w:r>
    </w:p>
    <w:p w:rsidR="00486624" w:rsidRDefault="00486624" w:rsidP="00486624">
      <w:pPr>
        <w:pStyle w:val="Heading2"/>
      </w:pPr>
      <w:r>
        <w:t>Storage</w:t>
      </w:r>
    </w:p>
    <w:p w:rsidR="00486624" w:rsidRDefault="00486624" w:rsidP="00486624">
      <w:pPr>
        <w:pStyle w:val="Copy"/>
      </w:pPr>
      <w:proofErr w:type="spellStart"/>
      <w:r>
        <w:t>S4</w:t>
      </w:r>
      <w:proofErr w:type="spellEnd"/>
      <w:r>
        <w:t xml:space="preserve"> medicines must be stored in a locked storage facility to prevent unauthorised access. For example: a lockable room, cupboard, cabinet or refrigerator. Precautions must be taken to ensure keys are not accessible to unauthorised staff. </w:t>
      </w:r>
    </w:p>
    <w:p w:rsidR="00486624" w:rsidRDefault="00486624" w:rsidP="00486624">
      <w:pPr>
        <w:pStyle w:val="Copy"/>
      </w:pPr>
      <w:proofErr w:type="spellStart"/>
      <w:r>
        <w:t>S8</w:t>
      </w:r>
      <w:proofErr w:type="spellEnd"/>
      <w:r>
        <w:t xml:space="preserve"> medicines must be stored in a locked purpose-built drug safe. Storage of a total of </w:t>
      </w:r>
      <w:proofErr w:type="spellStart"/>
      <w:r>
        <w:t>S8</w:t>
      </w:r>
      <w:proofErr w:type="spellEnd"/>
      <w:r>
        <w:t xml:space="preserve"> medicines less than of 250 doses requires a small safe and greater than 500 doses requires a large safe. Motion detectors covering the safe are required when more than 250 doses are stored.</w:t>
      </w:r>
    </w:p>
    <w:p w:rsidR="00486624" w:rsidRDefault="00486624" w:rsidP="00486624">
      <w:pPr>
        <w:pStyle w:val="Copy"/>
      </w:pPr>
      <w:r>
        <w:t xml:space="preserve">If treating patients outside of a medical practice, medicines must remain in the possession of the authorised practitioner at all times and all reasonable steps must be taken to prevent their loss or theft. The quantity held must be the minimum required to treat patients. </w:t>
      </w:r>
    </w:p>
    <w:p w:rsidR="00486624" w:rsidRDefault="00486624" w:rsidP="00486624">
      <w:pPr>
        <w:pStyle w:val="Heading2"/>
      </w:pPr>
      <w:r>
        <w:t>Recording</w:t>
      </w:r>
    </w:p>
    <w:p w:rsidR="00486624" w:rsidRDefault="00486624" w:rsidP="00486624">
      <w:pPr>
        <w:pStyle w:val="Copy"/>
      </w:pPr>
      <w:r>
        <w:t xml:space="preserve">Medical practitioners must make accurate clinical records of all medicines administered or supplied and retain these for at least 2 years for </w:t>
      </w:r>
      <w:proofErr w:type="spellStart"/>
      <w:r>
        <w:t>S4</w:t>
      </w:r>
      <w:proofErr w:type="spellEnd"/>
      <w:r>
        <w:t xml:space="preserve"> medicines, or 5 years for </w:t>
      </w:r>
      <w:proofErr w:type="spellStart"/>
      <w:r>
        <w:t>S8</w:t>
      </w:r>
      <w:proofErr w:type="spellEnd"/>
      <w:r>
        <w:t xml:space="preserve"> medicines.  All records must be available to be produced if demanded by an authorised officer of the Department of Health.</w:t>
      </w:r>
    </w:p>
    <w:p w:rsidR="00486624" w:rsidRDefault="00486624" w:rsidP="00486624">
      <w:pPr>
        <w:pStyle w:val="Copy"/>
      </w:pPr>
      <w:r>
        <w:t xml:space="preserve">A register of transactions, kept in an approved manner and form, must be maintained for all incoming and outgoing </w:t>
      </w:r>
      <w:proofErr w:type="spellStart"/>
      <w:r>
        <w:t>S8</w:t>
      </w:r>
      <w:proofErr w:type="spellEnd"/>
      <w:r>
        <w:t xml:space="preserve"> medicines. A monthly inventory must be also performed. </w:t>
      </w:r>
    </w:p>
    <w:p w:rsidR="00486624" w:rsidRDefault="00486624" w:rsidP="00486624">
      <w:r>
        <w:t xml:space="preserve">When </w:t>
      </w:r>
      <w:proofErr w:type="spellStart"/>
      <w:r>
        <w:t>S8</w:t>
      </w:r>
      <w:proofErr w:type="spellEnd"/>
      <w:r>
        <w:t xml:space="preserve"> medicines are supplied (as distinct from being administered), a summary record of </w:t>
      </w:r>
      <w:proofErr w:type="spellStart"/>
      <w:r>
        <w:t>S8</w:t>
      </w:r>
      <w:proofErr w:type="spellEnd"/>
      <w:r>
        <w:t xml:space="preserve"> medicines supplied for the month must be forwarded to the Department of Health, before the seventh day of the following month. </w:t>
      </w:r>
    </w:p>
    <w:p w:rsidR="00486624" w:rsidRDefault="00486624" w:rsidP="00486624">
      <w:pPr>
        <w:pStyle w:val="Heading2"/>
      </w:pPr>
      <w:r>
        <w:t>Compliance assessment</w:t>
      </w:r>
    </w:p>
    <w:p w:rsidR="00486624" w:rsidRPr="00075FBC" w:rsidRDefault="00486624" w:rsidP="00486624">
      <w:pPr>
        <w:pStyle w:val="Copy"/>
      </w:pPr>
      <w:r>
        <w:t xml:space="preserve">Medical practices and medical practitioners may be required to participate in routine audit assessments to monitor compliance with these requirements. Non-compliance with the Regulations may result in regulatory actions such as restrictions or loss of medicines authorities, notification to the Medical Board of Australia, and/or prosecution under the legislation. </w:t>
      </w:r>
    </w:p>
    <w:p w:rsidR="00486624" w:rsidRDefault="00486624" w:rsidP="00486624">
      <w:pPr>
        <w:pStyle w:val="Heading2"/>
      </w:pPr>
      <w:r>
        <w:t>More information</w:t>
      </w:r>
    </w:p>
    <w:p w:rsidR="00486624" w:rsidRDefault="00486624" w:rsidP="00486624">
      <w:pPr>
        <w:pStyle w:val="Copy"/>
      </w:pPr>
      <w:r>
        <w:t xml:space="preserve">For more information contact the Medicines and Poisons Regulation Branch on: </w:t>
      </w:r>
    </w:p>
    <w:p w:rsidR="00486624" w:rsidRDefault="00486624" w:rsidP="00486624">
      <w:pPr>
        <w:pStyle w:val="Copy"/>
        <w:numPr>
          <w:ilvl w:val="0"/>
          <w:numId w:val="4"/>
        </w:numPr>
        <w:spacing w:after="0" w:line="240" w:lineRule="auto"/>
      </w:pPr>
      <w:r>
        <w:t xml:space="preserve">(08) 9222 6883 (Monday – Friday, </w:t>
      </w:r>
      <w:proofErr w:type="spellStart"/>
      <w:r>
        <w:t>8.30am</w:t>
      </w:r>
      <w:proofErr w:type="spellEnd"/>
      <w:r>
        <w:t xml:space="preserve"> – </w:t>
      </w:r>
      <w:proofErr w:type="spellStart"/>
      <w:r>
        <w:t>4.30pm</w:t>
      </w:r>
      <w:proofErr w:type="spellEnd"/>
      <w:r>
        <w:t xml:space="preserve">) </w:t>
      </w:r>
    </w:p>
    <w:p w:rsidR="00AA1C8D" w:rsidRDefault="00FC7DAF" w:rsidP="00486624">
      <w:pPr>
        <w:pStyle w:val="Copy"/>
        <w:numPr>
          <w:ilvl w:val="0"/>
          <w:numId w:val="4"/>
        </w:numPr>
        <w:spacing w:after="0" w:line="240" w:lineRule="auto"/>
      </w:pPr>
      <w:hyperlink r:id="rId10" w:history="1">
        <w:proofErr w:type="spellStart"/>
        <w:r w:rsidR="00486624">
          <w:rPr>
            <w:rStyle w:val="Hyperlink"/>
          </w:rPr>
          <w:t>poisons@h</w:t>
        </w:r>
        <w:bookmarkStart w:id="0" w:name="_GoBack"/>
        <w:bookmarkEnd w:id="0"/>
        <w:r w:rsidR="00486624">
          <w:rPr>
            <w:rStyle w:val="Hyperlink"/>
          </w:rPr>
          <w:t>ealth.wa.gov.au</w:t>
        </w:r>
        <w:proofErr w:type="spellEnd"/>
      </w:hyperlink>
    </w:p>
    <w:sectPr w:rsidR="00AA1C8D" w:rsidSect="00FC7DAF">
      <w:footerReference w:type="default" r:id="rId11"/>
      <w:headerReference w:type="first" r:id="rId12"/>
      <w:footerReference w:type="first" r:id="rId13"/>
      <w:pgSz w:w="11906" w:h="16838" w:code="9"/>
      <w:pgMar w:top="709" w:right="680" w:bottom="1418" w:left="680" w:header="392" w:footer="2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51" w:rsidRDefault="008C5F51" w:rsidP="0013662A">
      <w:pPr>
        <w:spacing w:after="0"/>
      </w:pPr>
      <w:r>
        <w:separator/>
      </w:r>
    </w:p>
  </w:endnote>
  <w:endnote w:type="continuationSeparator" w:id="0">
    <w:p w:rsidR="008C5F51" w:rsidRDefault="008C5F51"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4" w:rsidRDefault="009B0844" w:rsidP="009B0844">
    <w:pPr>
      <w:spacing w:after="300"/>
      <w:ind w:right="-1"/>
    </w:pPr>
    <w:r>
      <w:t>© Department of Health 201</w:t>
    </w:r>
    <w:r w:rsidR="00D26FC2">
      <w:t>7</w:t>
    </w:r>
  </w:p>
  <w:p w:rsidR="00521D1A" w:rsidRPr="00483052" w:rsidRDefault="000244A9" w:rsidP="00483052">
    <w:pPr>
      <w:pStyle w:val="TEXT"/>
      <w:spacing w:line="240" w:lineRule="auto"/>
      <w:rPr>
        <w:rFonts w:ascii="Arial" w:hAnsi="Arial"/>
        <w:color w:val="1B2C5B" w:themeColor="accent1"/>
        <w:sz w:val="28"/>
        <w:szCs w:val="28"/>
      </w:rPr>
    </w:pPr>
    <w:proofErr w:type="spellStart"/>
    <w:r w:rsidRPr="00483052">
      <w:rPr>
        <w:rFonts w:ascii="Arial" w:hAnsi="Arial"/>
        <w:color w:val="1B2C5B" w:themeColor="accent1"/>
        <w:sz w:val="28"/>
        <w:szCs w:val="28"/>
      </w:rPr>
      <w:t>health.wa.gov.au</w:t>
    </w:r>
    <w:proofErr w:type="spellEnd"/>
    <w:r w:rsidR="000D588A">
      <w:rPr>
        <w:rFonts w:ascii="Arial" w:hAnsi="Arial"/>
        <w:color w:val="1B2C5B" w:themeColor="accent1"/>
        <w:sz w:val="28"/>
        <w:szCs w:val="28"/>
      </w:rPr>
      <w:tab/>
    </w:r>
    <w:r w:rsidR="000D588A">
      <w:rPr>
        <w:rFonts w:ascii="Arial" w:hAnsi="Arial"/>
        <w:color w:val="1B2C5B" w:themeColor="accent1"/>
        <w:sz w:val="28"/>
        <w:szCs w:val="28"/>
      </w:rPr>
      <w:tab/>
    </w:r>
    <w:r w:rsidR="000D588A">
      <w:rPr>
        <w:rFonts w:ascii="Arial" w:hAnsi="Arial"/>
        <w:color w:val="1B2C5B" w:themeColor="accent1"/>
        <w:sz w:val="28"/>
        <w:szCs w:val="28"/>
      </w:rPr>
      <w:tab/>
    </w:r>
    <w:r w:rsidR="000D588A">
      <w:rPr>
        <w:rFonts w:ascii="Arial" w:hAnsi="Arial"/>
        <w:color w:val="1B2C5B" w:themeColor="accent1"/>
        <w:sz w:val="28"/>
        <w:szCs w:val="28"/>
      </w:rPr>
      <w:tab/>
    </w:r>
    <w:r w:rsidR="000D588A">
      <w:rPr>
        <w:rFonts w:ascii="Arial" w:hAnsi="Arial"/>
        <w:color w:val="1B2C5B" w:themeColor="accent1"/>
        <w:sz w:val="28"/>
        <w:szCs w:val="28"/>
      </w:rPr>
      <w:tab/>
    </w:r>
    <w:r w:rsidR="000D588A">
      <w:rPr>
        <w:rFonts w:ascii="Arial" w:hAnsi="Arial"/>
        <w:color w:val="1B2C5B" w:themeColor="accent1"/>
        <w:sz w:val="28"/>
        <w:szCs w:val="28"/>
      </w:rPr>
      <w:tab/>
    </w:r>
    <w:r w:rsidR="000D588A">
      <w:rPr>
        <w:rFonts w:ascii="Arial" w:hAnsi="Arial"/>
        <w:color w:val="1B2C5B" w:themeColor="accent1"/>
        <w:sz w:val="28"/>
        <w:szCs w:val="28"/>
      </w:rPr>
      <w:tab/>
    </w:r>
    <w:r w:rsidR="000D588A">
      <w:rPr>
        <w:rFonts w:ascii="Arial" w:hAnsi="Arial"/>
        <w:color w:val="1B2C5B" w:themeColor="accent1"/>
        <w:sz w:val="28"/>
        <w:szCs w:val="28"/>
      </w:rPr>
      <w:tab/>
    </w:r>
    <w:r w:rsidR="000D588A">
      <w:rPr>
        <w:rFonts w:ascii="Arial" w:hAnsi="Arial"/>
        <w:color w:val="1B2C5B" w:themeColor="accent1"/>
        <w:sz w:val="28"/>
        <w:szCs w:val="28"/>
      </w:rPr>
      <w:tab/>
    </w:r>
    <w:r w:rsidR="000D588A">
      <w:rPr>
        <w:rFonts w:ascii="Arial" w:hAnsi="Arial"/>
        <w:color w:val="1B2C5B" w:themeColor="accent1"/>
        <w:sz w:val="28"/>
        <w:szCs w:val="28"/>
      </w:rPr>
      <w:tab/>
    </w:r>
    <w:r w:rsidR="000D588A">
      <w:rPr>
        <w:rFonts w:ascii="Arial" w:hAnsi="Arial"/>
        <w:color w:val="1B2C5B" w:themeColor="accent1"/>
        <w:sz w:val="28"/>
        <w:szCs w:val="28"/>
      </w:rPr>
      <w:tab/>
    </w:r>
    <w:proofErr w:type="spellStart"/>
    <w:r w:rsidR="000D588A" w:rsidRPr="000D588A">
      <w:rPr>
        <w:rFonts w:ascii="Arial" w:hAnsi="Arial"/>
        <w:color w:val="1B2C5B" w:themeColor="accent1"/>
        <w:sz w:val="20"/>
        <w:szCs w:val="20"/>
      </w:rPr>
      <w:t>D000</w:t>
    </w:r>
    <w:r w:rsidR="00486624">
      <w:rPr>
        <w:rFonts w:ascii="Arial" w:hAnsi="Arial"/>
        <w:color w:val="1B2C5B" w:themeColor="accent1"/>
        <w:sz w:val="20"/>
        <w:szCs w:val="20"/>
      </w:rPr>
      <w:t>19</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A" w:rsidRPr="00232283" w:rsidRDefault="0013662A" w:rsidP="00232283">
    <w:pPr>
      <w:spacing w:after="240"/>
      <w:rPr>
        <w:b/>
        <w:color w:val="1B2C5B" w:themeColor="accent2"/>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51" w:rsidRDefault="008C5F51" w:rsidP="0013662A">
      <w:pPr>
        <w:spacing w:after="0"/>
      </w:pPr>
      <w:r>
        <w:separator/>
      </w:r>
    </w:p>
  </w:footnote>
  <w:footnote w:type="continuationSeparator" w:id="0">
    <w:p w:rsidR="008C5F51" w:rsidRDefault="008C5F51"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pPr>
      <w:pStyle w:val="Header"/>
    </w:pPr>
    <w:r>
      <w:rPr>
        <w:noProof/>
        <w:lang w:eastAsia="en-AU"/>
      </w:rPr>
      <w:drawing>
        <wp:anchor distT="0" distB="0" distL="114300" distR="114300" simplePos="0" relativeHeight="251658240" behindDoc="1" locked="0" layoutInCell="1" allowOverlap="1" wp14:anchorId="1DA82B35" wp14:editId="578E4514">
          <wp:simplePos x="0" y="0"/>
          <wp:positionH relativeFrom="page">
            <wp:posOffset>616</wp:posOffset>
          </wp:positionH>
          <wp:positionV relativeFrom="page">
            <wp:posOffset>0</wp:posOffset>
          </wp:positionV>
          <wp:extent cx="7558768" cy="106920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54AC"/>
    <w:multiLevelType w:val="hybridMultilevel"/>
    <w:tmpl w:val="3EE07F62"/>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EE4DDB"/>
    <w:multiLevelType w:val="hybridMultilevel"/>
    <w:tmpl w:val="2DA2EBBA"/>
    <w:lvl w:ilvl="0" w:tplc="1A8A8032">
      <w:start w:val="1"/>
      <w:numFmt w:val="bullet"/>
      <w:lvlText w:val=""/>
      <w:lvlJc w:val="left"/>
      <w:pPr>
        <w:ind w:left="720" w:hanging="360"/>
      </w:pPr>
      <w:rPr>
        <w:rFonts w:ascii="Wingdings" w:hAnsi="Wingdings" w:hint="default"/>
        <w:color w:val="004B8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5F841A47"/>
    <w:multiLevelType w:val="hybridMultilevel"/>
    <w:tmpl w:val="55867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05155C0"/>
    <w:multiLevelType w:val="hybridMultilevel"/>
    <w:tmpl w:val="D576C76E"/>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0"/>
  </w:num>
  <w:num w:numId="10">
    <w:abstractNumId w:val="1"/>
  </w:num>
  <w:num w:numId="11">
    <w:abstractNumId w:val="3"/>
  </w:num>
  <w:num w:numId="12">
    <w:abstractNumId w:val="1"/>
  </w:num>
  <w:num w:numId="13">
    <w:abstractNumId w:val="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42"/>
  <w:drawingGridVerticalSpacing w:val="14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244A9"/>
    <w:rsid w:val="000817F3"/>
    <w:rsid w:val="000D588A"/>
    <w:rsid w:val="0013662A"/>
    <w:rsid w:val="001437E0"/>
    <w:rsid w:val="00171B7B"/>
    <w:rsid w:val="001C7D1F"/>
    <w:rsid w:val="001F6030"/>
    <w:rsid w:val="001F68E9"/>
    <w:rsid w:val="00204ED3"/>
    <w:rsid w:val="00206A29"/>
    <w:rsid w:val="00220E8F"/>
    <w:rsid w:val="00232283"/>
    <w:rsid w:val="002C7D7D"/>
    <w:rsid w:val="002E5F5B"/>
    <w:rsid w:val="00355004"/>
    <w:rsid w:val="003929E7"/>
    <w:rsid w:val="003F0FD0"/>
    <w:rsid w:val="00435D98"/>
    <w:rsid w:val="00466DB9"/>
    <w:rsid w:val="00471692"/>
    <w:rsid w:val="004727D7"/>
    <w:rsid w:val="00483052"/>
    <w:rsid w:val="00486624"/>
    <w:rsid w:val="00492C70"/>
    <w:rsid w:val="004A609E"/>
    <w:rsid w:val="004C2780"/>
    <w:rsid w:val="004C27CB"/>
    <w:rsid w:val="004C6976"/>
    <w:rsid w:val="00521D1A"/>
    <w:rsid w:val="0056716B"/>
    <w:rsid w:val="00597A85"/>
    <w:rsid w:val="005A409E"/>
    <w:rsid w:val="005D455D"/>
    <w:rsid w:val="006F1E2D"/>
    <w:rsid w:val="006F52D0"/>
    <w:rsid w:val="007009FC"/>
    <w:rsid w:val="00753150"/>
    <w:rsid w:val="0077027C"/>
    <w:rsid w:val="00794DF0"/>
    <w:rsid w:val="007C3222"/>
    <w:rsid w:val="007D3AE7"/>
    <w:rsid w:val="007D793C"/>
    <w:rsid w:val="00881846"/>
    <w:rsid w:val="00882643"/>
    <w:rsid w:val="00897837"/>
    <w:rsid w:val="008C5F51"/>
    <w:rsid w:val="008C6F0A"/>
    <w:rsid w:val="008E3665"/>
    <w:rsid w:val="008F7FE4"/>
    <w:rsid w:val="009268E4"/>
    <w:rsid w:val="00930DF8"/>
    <w:rsid w:val="00933CEB"/>
    <w:rsid w:val="009668ED"/>
    <w:rsid w:val="00981DA1"/>
    <w:rsid w:val="00990D6C"/>
    <w:rsid w:val="009B0844"/>
    <w:rsid w:val="00A91C4C"/>
    <w:rsid w:val="00AA1620"/>
    <w:rsid w:val="00AA1C8D"/>
    <w:rsid w:val="00AF0C79"/>
    <w:rsid w:val="00B17ECC"/>
    <w:rsid w:val="00B37EEE"/>
    <w:rsid w:val="00B85FD3"/>
    <w:rsid w:val="00BB4555"/>
    <w:rsid w:val="00BB5682"/>
    <w:rsid w:val="00BD41EB"/>
    <w:rsid w:val="00BD7C33"/>
    <w:rsid w:val="00BE3C2D"/>
    <w:rsid w:val="00C7143D"/>
    <w:rsid w:val="00C729CE"/>
    <w:rsid w:val="00C84199"/>
    <w:rsid w:val="00CF2778"/>
    <w:rsid w:val="00CF64E2"/>
    <w:rsid w:val="00D147D4"/>
    <w:rsid w:val="00D26FC2"/>
    <w:rsid w:val="00D636EE"/>
    <w:rsid w:val="00D9301F"/>
    <w:rsid w:val="00DD22D0"/>
    <w:rsid w:val="00DE4BFE"/>
    <w:rsid w:val="00DF1362"/>
    <w:rsid w:val="00E40563"/>
    <w:rsid w:val="00E47483"/>
    <w:rsid w:val="00E73BFC"/>
    <w:rsid w:val="00E775B0"/>
    <w:rsid w:val="00EA55C8"/>
    <w:rsid w:val="00F647BD"/>
    <w:rsid w:val="00FA07F4"/>
    <w:rsid w:val="00FC7DAF"/>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B37EEE"/>
    <w:pPr>
      <w:spacing w:after="300"/>
    </w:pPr>
    <w:rPr>
      <w:rFonts w:eastAsia="Times New Roman" w:cs="Arial"/>
      <w:bCs/>
      <w:color w:val="004B8D"/>
      <w:sz w:val="56"/>
      <w:szCs w:val="56"/>
    </w:rPr>
  </w:style>
  <w:style w:type="paragraph" w:customStyle="1" w:styleId="Copy">
    <w:name w:val="Copy"/>
    <w:basedOn w:val="Normal"/>
    <w:rsid w:val="00B37EEE"/>
    <w:pPr>
      <w:spacing w:after="120" w:line="300" w:lineRule="exact"/>
    </w:pPr>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B37EEE"/>
    <w:pPr>
      <w:spacing w:after="300"/>
    </w:pPr>
    <w:rPr>
      <w:rFonts w:eastAsia="Times New Roman" w:cs="Arial"/>
      <w:bCs/>
      <w:color w:val="004B8D"/>
      <w:sz w:val="56"/>
      <w:szCs w:val="56"/>
    </w:rPr>
  </w:style>
  <w:style w:type="paragraph" w:customStyle="1" w:styleId="Copy">
    <w:name w:val="Copy"/>
    <w:basedOn w:val="Normal"/>
    <w:rsid w:val="00B37EEE"/>
    <w:pPr>
      <w:spacing w:after="120" w:line="300" w:lineRule="exact"/>
    </w:pPr>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isons@health.wa.gov.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C7B6-8A7F-42BC-87B1-280963DF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Gontaszewski, Susan</cp:lastModifiedBy>
  <cp:revision>4</cp:revision>
  <dcterms:created xsi:type="dcterms:W3CDTF">2017-01-09T02:26:00Z</dcterms:created>
  <dcterms:modified xsi:type="dcterms:W3CDTF">2017-01-09T02:29:00Z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