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CBDE" w14:textId="77777777" w:rsidR="002E5F5B" w:rsidRDefault="002E5F5B" w:rsidP="00E775B0">
      <w:r>
        <w:rPr>
          <w:noProof/>
          <w:lang w:eastAsia="en-AU"/>
        </w:rPr>
        <w:drawing>
          <wp:inline distT="0" distB="0" distL="0" distR="0" wp14:anchorId="658FE3DA" wp14:editId="5C2503FA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CF3F" w14:textId="77777777" w:rsidR="00AD2A96" w:rsidRPr="00607EC2" w:rsidRDefault="00AD2A96" w:rsidP="00AD2A96">
      <w:pPr>
        <w:pStyle w:val="Flyerheadline"/>
      </w:pPr>
      <w:r>
        <w:t xml:space="preserve">Working with medicines </w:t>
      </w:r>
    </w:p>
    <w:p w14:paraId="3035AEA8" w14:textId="77777777" w:rsidR="00AD2A96" w:rsidRPr="00AD3D6F" w:rsidRDefault="00AD2A96" w:rsidP="00AD2A96">
      <w:pPr>
        <w:pStyle w:val="Heading1"/>
      </w:pPr>
      <w:r>
        <w:t xml:space="preserve">Aboriginal health practitioners and workers </w:t>
      </w:r>
    </w:p>
    <w:p w14:paraId="167A25CC" w14:textId="77777777" w:rsidR="00AD2A96" w:rsidRPr="00517F10" w:rsidRDefault="00AD2A96" w:rsidP="00AD2A96">
      <w:pPr>
        <w:pStyle w:val="Heading2"/>
      </w:pPr>
      <w:r>
        <w:t>Regulations</w:t>
      </w:r>
    </w:p>
    <w:p w14:paraId="4152C22A" w14:textId="3CCF7877" w:rsidR="003F5B8F" w:rsidRPr="003F5B8F" w:rsidRDefault="003F5B8F" w:rsidP="003F5B8F">
      <w:pPr>
        <w:pStyle w:val="Heading2"/>
        <w:rPr>
          <w:rFonts w:eastAsia="Calibri" w:cs="Arial"/>
          <w:b w:val="0"/>
          <w:color w:val="auto"/>
          <w:sz w:val="24"/>
          <w:szCs w:val="24"/>
        </w:rPr>
      </w:pPr>
      <w:r w:rsidRPr="003F5B8F">
        <w:rPr>
          <w:rFonts w:eastAsia="Calibri" w:cs="Arial"/>
          <w:b w:val="0"/>
          <w:color w:val="auto"/>
          <w:sz w:val="24"/>
          <w:szCs w:val="24"/>
        </w:rPr>
        <w:t>Aboriginal health practitioners</w:t>
      </w:r>
      <w:r w:rsidR="00693EB1">
        <w:rPr>
          <w:rFonts w:eastAsia="Calibri" w:cs="Arial"/>
          <w:b w:val="0"/>
          <w:color w:val="auto"/>
          <w:sz w:val="24"/>
          <w:szCs w:val="24"/>
        </w:rPr>
        <w:t xml:space="preserve"> (AHP)</w:t>
      </w:r>
      <w:r w:rsidRPr="003F5B8F">
        <w:rPr>
          <w:rFonts w:eastAsia="Calibri" w:cs="Arial"/>
          <w:b w:val="0"/>
          <w:color w:val="auto"/>
          <w:sz w:val="24"/>
          <w:szCs w:val="24"/>
        </w:rPr>
        <w:t xml:space="preserve">, registered with the </w:t>
      </w:r>
      <w:hyperlink r:id="rId9" w:history="1">
        <w:r w:rsidRPr="00A2410B">
          <w:rPr>
            <w:rStyle w:val="Hyperlink"/>
            <w:rFonts w:eastAsia="Calibri" w:cs="Arial"/>
            <w:b w:val="0"/>
            <w:szCs w:val="24"/>
          </w:rPr>
          <w:t>national registration board</w:t>
        </w:r>
      </w:hyperlink>
      <w:r w:rsidRPr="003F5B8F">
        <w:rPr>
          <w:rFonts w:eastAsia="Calibri" w:cs="Arial"/>
          <w:b w:val="0"/>
          <w:color w:val="auto"/>
          <w:sz w:val="24"/>
          <w:szCs w:val="24"/>
        </w:rPr>
        <w:t>, and Aboriginal health workers</w:t>
      </w:r>
      <w:r w:rsidR="00693EB1">
        <w:rPr>
          <w:rFonts w:eastAsia="Calibri" w:cs="Arial"/>
          <w:b w:val="0"/>
          <w:color w:val="auto"/>
          <w:sz w:val="24"/>
          <w:szCs w:val="24"/>
        </w:rPr>
        <w:t xml:space="preserve"> (AHW)</w:t>
      </w:r>
      <w:r w:rsidRPr="003F5B8F">
        <w:rPr>
          <w:rFonts w:eastAsia="Calibri" w:cs="Arial"/>
          <w:b w:val="0"/>
          <w:color w:val="auto"/>
          <w:sz w:val="24"/>
          <w:szCs w:val="24"/>
        </w:rPr>
        <w:t xml:space="preserve">, employed by an Aboriginal Community Controlled Health Service (ACCHS) or WA Health to provide healthcare or public health services, have various authorities under the </w:t>
      </w:r>
      <w:hyperlink r:id="rId10" w:history="1">
        <w:r w:rsidRPr="0060570D">
          <w:rPr>
            <w:rStyle w:val="Hyperlink"/>
            <w:rFonts w:eastAsia="Calibri" w:cs="Arial"/>
            <w:b w:val="0"/>
            <w:szCs w:val="24"/>
          </w:rPr>
          <w:t>Medicines and Poisons Regulations 2016</w:t>
        </w:r>
      </w:hyperlink>
      <w:r w:rsidRPr="003F5B8F">
        <w:rPr>
          <w:rFonts w:eastAsia="Calibri" w:cs="Arial"/>
          <w:b w:val="0"/>
          <w:color w:val="auto"/>
          <w:sz w:val="24"/>
          <w:szCs w:val="24"/>
        </w:rPr>
        <w:t xml:space="preserve"> to </w:t>
      </w:r>
      <w:r w:rsidR="000514FC">
        <w:rPr>
          <w:rFonts w:eastAsia="Calibri" w:cs="Arial"/>
          <w:b w:val="0"/>
          <w:color w:val="auto"/>
          <w:sz w:val="24"/>
          <w:szCs w:val="24"/>
        </w:rPr>
        <w:t>possess, administer</w:t>
      </w:r>
      <w:r w:rsidRPr="003F5B8F">
        <w:rPr>
          <w:rFonts w:eastAsia="Calibri" w:cs="Arial"/>
          <w:b w:val="0"/>
          <w:color w:val="auto"/>
          <w:sz w:val="24"/>
          <w:szCs w:val="24"/>
        </w:rPr>
        <w:t xml:space="preserve"> and </w:t>
      </w:r>
      <w:r w:rsidR="000514FC">
        <w:rPr>
          <w:rFonts w:eastAsia="Calibri" w:cs="Arial"/>
          <w:b w:val="0"/>
          <w:color w:val="auto"/>
          <w:sz w:val="24"/>
          <w:szCs w:val="24"/>
        </w:rPr>
        <w:t xml:space="preserve">supply </w:t>
      </w:r>
      <w:r w:rsidRPr="003F5B8F">
        <w:rPr>
          <w:rFonts w:eastAsia="Calibri" w:cs="Arial"/>
          <w:b w:val="0"/>
          <w:color w:val="auto"/>
          <w:sz w:val="24"/>
          <w:szCs w:val="24"/>
        </w:rPr>
        <w:t>medicines</w:t>
      </w:r>
      <w:r w:rsidR="001C2183">
        <w:rPr>
          <w:rFonts w:eastAsia="Calibri" w:cs="Arial"/>
          <w:b w:val="0"/>
          <w:color w:val="auto"/>
          <w:sz w:val="24"/>
          <w:szCs w:val="24"/>
        </w:rPr>
        <w:t xml:space="preserve"> in Schedule 4 (prescription only medicines), Schedule 3 (pharmacist only medicines) and Schedule 2 (pharmacy medicines).</w:t>
      </w:r>
    </w:p>
    <w:p w14:paraId="25555539" w14:textId="46C0368F" w:rsidR="003F5B8F" w:rsidRDefault="003F5B8F" w:rsidP="003F5B8F">
      <w:pPr>
        <w:pStyle w:val="Heading2"/>
        <w:rPr>
          <w:rFonts w:eastAsia="Calibri" w:cs="Arial"/>
          <w:b w:val="0"/>
          <w:color w:val="auto"/>
          <w:sz w:val="24"/>
          <w:szCs w:val="24"/>
        </w:rPr>
      </w:pPr>
      <w:r w:rsidRPr="003F5B8F">
        <w:rPr>
          <w:rFonts w:eastAsia="Calibri" w:cs="Arial"/>
          <w:b w:val="0"/>
          <w:color w:val="auto"/>
          <w:sz w:val="24"/>
          <w:szCs w:val="24"/>
        </w:rPr>
        <w:t>The Regulations do not give any authority for Schedule 8 medicines (controlled drugs)</w:t>
      </w:r>
      <w:r w:rsidR="001C2183">
        <w:rPr>
          <w:rFonts w:eastAsia="Calibri" w:cs="Arial"/>
          <w:b w:val="0"/>
          <w:color w:val="auto"/>
          <w:sz w:val="24"/>
          <w:szCs w:val="24"/>
        </w:rPr>
        <w:t>.</w:t>
      </w:r>
    </w:p>
    <w:p w14:paraId="6E1B2580" w14:textId="6A0D8FDF" w:rsidR="00AD2A96" w:rsidRDefault="00AD2A96" w:rsidP="003F5B8F">
      <w:pPr>
        <w:pStyle w:val="Heading2"/>
      </w:pPr>
      <w:r>
        <w:t>Authority</w:t>
      </w:r>
    </w:p>
    <w:p w14:paraId="2C90904A" w14:textId="77777777" w:rsidR="00926854" w:rsidRPr="00926854" w:rsidRDefault="00926854" w:rsidP="00926854">
      <w:pPr>
        <w:pStyle w:val="Heading3"/>
      </w:pPr>
      <w:r w:rsidRPr="00926854">
        <w:t>Definition</w:t>
      </w:r>
      <w:r>
        <w:t xml:space="preserve"> for types of authorities</w:t>
      </w:r>
    </w:p>
    <w:p w14:paraId="40FC40B9" w14:textId="1F12510D" w:rsidR="00926854" w:rsidRPr="004B7AC8" w:rsidRDefault="00926854" w:rsidP="00A46A64">
      <w:pPr>
        <w:pStyle w:val="ListParagraph"/>
        <w:numPr>
          <w:ilvl w:val="0"/>
          <w:numId w:val="7"/>
        </w:numPr>
        <w:rPr>
          <w:lang w:eastAsia="en-AU"/>
        </w:rPr>
      </w:pPr>
      <w:r w:rsidRPr="004B7AC8">
        <w:rPr>
          <w:lang w:eastAsia="en-AU"/>
        </w:rPr>
        <w:t>obtain (also called purchase) – legally buy medicines from a pharmaceutical whol</w:t>
      </w:r>
      <w:r w:rsidR="001C2183">
        <w:rPr>
          <w:lang w:eastAsia="en-AU"/>
        </w:rPr>
        <w:t>esaler</w:t>
      </w:r>
    </w:p>
    <w:p w14:paraId="284BCAE1" w14:textId="14B92D7A" w:rsidR="00926854" w:rsidRPr="004B7AC8" w:rsidRDefault="00926854" w:rsidP="00A46A64">
      <w:pPr>
        <w:pStyle w:val="ListParagraph"/>
        <w:numPr>
          <w:ilvl w:val="0"/>
          <w:numId w:val="7"/>
        </w:numPr>
        <w:rPr>
          <w:lang w:eastAsia="en-AU"/>
        </w:rPr>
      </w:pPr>
      <w:r w:rsidRPr="004B7AC8">
        <w:rPr>
          <w:lang w:eastAsia="en-AU"/>
        </w:rPr>
        <w:t xml:space="preserve">possess – </w:t>
      </w:r>
      <w:r w:rsidR="001C2183">
        <w:rPr>
          <w:lang w:eastAsia="en-AU"/>
        </w:rPr>
        <w:t xml:space="preserve">have custody of medicines, including </w:t>
      </w:r>
      <w:r w:rsidRPr="004B7AC8">
        <w:rPr>
          <w:lang w:eastAsia="en-AU"/>
        </w:rPr>
        <w:t>stor</w:t>
      </w:r>
      <w:r w:rsidR="001C2183">
        <w:rPr>
          <w:lang w:eastAsia="en-AU"/>
        </w:rPr>
        <w:t>ing</w:t>
      </w:r>
      <w:r w:rsidRPr="004B7AC8">
        <w:rPr>
          <w:lang w:eastAsia="en-AU"/>
        </w:rPr>
        <w:t xml:space="preserve"> a medicine for later use</w:t>
      </w:r>
    </w:p>
    <w:p w14:paraId="62CF9306" w14:textId="582B6B1D" w:rsidR="00A46A64" w:rsidRPr="00A46A64" w:rsidRDefault="00A46A64" w:rsidP="00A46A64">
      <w:pPr>
        <w:pStyle w:val="ListParagraph"/>
        <w:numPr>
          <w:ilvl w:val="0"/>
          <w:numId w:val="7"/>
        </w:numPr>
        <w:rPr>
          <w:lang w:eastAsia="en-AU"/>
        </w:rPr>
      </w:pPr>
      <w:r w:rsidRPr="00A46A64">
        <w:rPr>
          <w:lang w:eastAsia="en-AU"/>
        </w:rPr>
        <w:t>administer – administer</w:t>
      </w:r>
      <w:r w:rsidR="001C2183">
        <w:rPr>
          <w:lang w:eastAsia="en-AU"/>
        </w:rPr>
        <w:t xml:space="preserve"> a dose of a</w:t>
      </w:r>
      <w:r w:rsidRPr="00A46A64">
        <w:rPr>
          <w:lang w:eastAsia="en-AU"/>
        </w:rPr>
        <w:t xml:space="preserve"> medicine to a patient</w:t>
      </w:r>
      <w:r w:rsidR="001C2183">
        <w:rPr>
          <w:lang w:eastAsia="en-AU"/>
        </w:rPr>
        <w:t>,</w:t>
      </w:r>
      <w:r w:rsidRPr="00A46A64">
        <w:rPr>
          <w:lang w:eastAsia="en-AU"/>
        </w:rPr>
        <w:t xml:space="preserve"> when instructed by the prescriber</w:t>
      </w:r>
    </w:p>
    <w:p w14:paraId="32260737" w14:textId="58839B17" w:rsidR="00926854" w:rsidRDefault="00926854" w:rsidP="00A46A64">
      <w:pPr>
        <w:pStyle w:val="ListParagraph"/>
        <w:numPr>
          <w:ilvl w:val="0"/>
          <w:numId w:val="7"/>
        </w:numPr>
        <w:rPr>
          <w:lang w:eastAsia="en-AU"/>
        </w:rPr>
      </w:pPr>
      <w:r w:rsidRPr="004B7AC8">
        <w:rPr>
          <w:lang w:eastAsia="en-AU"/>
        </w:rPr>
        <w:t xml:space="preserve">supply – when a quantity of medicine </w:t>
      </w:r>
      <w:r w:rsidR="001C2183">
        <w:rPr>
          <w:lang w:eastAsia="en-AU"/>
        </w:rPr>
        <w:t>is given to</w:t>
      </w:r>
      <w:r w:rsidRPr="004B7AC8">
        <w:rPr>
          <w:lang w:eastAsia="en-AU"/>
        </w:rPr>
        <w:t xml:space="preserve"> a patient</w:t>
      </w:r>
      <w:r w:rsidR="001C2183">
        <w:rPr>
          <w:lang w:eastAsia="en-AU"/>
        </w:rPr>
        <w:t>,</w:t>
      </w:r>
      <w:r w:rsidRPr="004B7AC8">
        <w:rPr>
          <w:lang w:eastAsia="en-AU"/>
        </w:rPr>
        <w:t xml:space="preserve"> to </w:t>
      </w:r>
      <w:r w:rsidR="001C2183">
        <w:rPr>
          <w:lang w:eastAsia="en-AU"/>
        </w:rPr>
        <w:t>use at home</w:t>
      </w:r>
    </w:p>
    <w:p w14:paraId="77EF94BB" w14:textId="77777777" w:rsidR="00926854" w:rsidRPr="004B7AC8" w:rsidRDefault="00926854" w:rsidP="00A46A64">
      <w:pPr>
        <w:pStyle w:val="ListParagraph"/>
        <w:numPr>
          <w:ilvl w:val="0"/>
          <w:numId w:val="7"/>
        </w:numPr>
        <w:rPr>
          <w:lang w:eastAsia="en-AU"/>
        </w:rPr>
      </w:pPr>
      <w:r w:rsidRPr="004B7AC8">
        <w:rPr>
          <w:lang w:eastAsia="en-AU"/>
        </w:rPr>
        <w:t>prescribe – write a prescription to instruct a pharmacist to dispense a medicine</w:t>
      </w:r>
    </w:p>
    <w:p w14:paraId="227A9C1C" w14:textId="6A7E405B" w:rsidR="00AD2A96" w:rsidRPr="00815B1E" w:rsidRDefault="00AD2A96" w:rsidP="00AD2A96">
      <w:pPr>
        <w:pStyle w:val="Copy"/>
      </w:pPr>
      <w:r>
        <w:t xml:space="preserve">The following table outlines the authority of </w:t>
      </w:r>
      <w:r w:rsidR="001F3EA0">
        <w:t>Aboriginal health practitioners and workers</w:t>
      </w:r>
      <w:r>
        <w:t xml:space="preserve"> to </w:t>
      </w:r>
      <w:r w:rsidR="00693EB1">
        <w:t>use</w:t>
      </w:r>
      <w:r>
        <w:t xml:space="preserve"> medicines under the Regulations:</w:t>
      </w:r>
    </w:p>
    <w:tbl>
      <w:tblPr>
        <w:tblpPr w:leftFromText="180" w:rightFromText="180" w:vertAnchor="text" w:horzAnchor="margin" w:tblpY="10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96"/>
        <w:gridCol w:w="1497"/>
        <w:gridCol w:w="1497"/>
        <w:gridCol w:w="1497"/>
        <w:gridCol w:w="1497"/>
      </w:tblGrid>
      <w:tr w:rsidR="00AD2A96" w:rsidRPr="00AE5E90" w14:paraId="30AA5A46" w14:textId="77777777" w:rsidTr="001E66D8">
        <w:trPr>
          <w:tblHeader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14:paraId="54C39458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Practitioner</w:t>
            </w:r>
          </w:p>
        </w:tc>
        <w:tc>
          <w:tcPr>
            <w:tcW w:w="7484" w:type="dxa"/>
            <w:gridSpan w:val="5"/>
            <w:shd w:val="clear" w:color="auto" w:fill="FFFFFF"/>
            <w:vAlign w:val="center"/>
          </w:tcPr>
          <w:p w14:paraId="6E1EDA51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Type of Authority</w:t>
            </w:r>
          </w:p>
        </w:tc>
      </w:tr>
      <w:tr w:rsidR="00AD2A96" w:rsidRPr="00AE5E90" w14:paraId="2AB68400" w14:textId="77777777" w:rsidTr="001E66D8">
        <w:trPr>
          <w:tblHeader/>
        </w:trPr>
        <w:tc>
          <w:tcPr>
            <w:tcW w:w="2410" w:type="dxa"/>
            <w:vMerge/>
            <w:shd w:val="clear" w:color="auto" w:fill="FFFFFF"/>
            <w:vAlign w:val="center"/>
          </w:tcPr>
          <w:p w14:paraId="12560B38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14:paraId="09F92A61" w14:textId="77777777" w:rsidR="00AD2A96" w:rsidRPr="008F28B0" w:rsidRDefault="00AD2A96" w:rsidP="001E66D8">
            <w:pPr>
              <w:ind w:left="-108" w:right="-115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Obtain (purchase)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36DB8635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Possess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1EB87739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Administer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25C282A0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Supply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321A0174" w14:textId="77777777" w:rsidR="00AD2A96" w:rsidRPr="008F28B0" w:rsidRDefault="00AD2A96" w:rsidP="001E66D8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Prescribe</w:t>
            </w:r>
          </w:p>
        </w:tc>
      </w:tr>
      <w:tr w:rsidR="00AD2A96" w:rsidRPr="00AE5E90" w14:paraId="4B7B0C87" w14:textId="77777777" w:rsidTr="001E66D8">
        <w:tc>
          <w:tcPr>
            <w:tcW w:w="2410" w:type="dxa"/>
            <w:vAlign w:val="center"/>
          </w:tcPr>
          <w:p w14:paraId="36F2CB11" w14:textId="77777777" w:rsidR="00AD2A96" w:rsidRPr="00654160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Aboriginal Health Practitioner 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B652791" w14:textId="77777777" w:rsidR="00AD2A96" w:rsidRPr="00654160" w:rsidRDefault="00AD2A96" w:rsidP="001E66D8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2AB97BB" w14:textId="77777777" w:rsidR="00AD2A96" w:rsidRPr="00654160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5BE8A14C" w14:textId="77777777" w:rsidR="00AD2A96" w:rsidRPr="00654160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1, 2</w:t>
            </w:r>
          </w:p>
        </w:tc>
        <w:tc>
          <w:tcPr>
            <w:tcW w:w="1497" w:type="dxa"/>
            <w:vAlign w:val="center"/>
          </w:tcPr>
          <w:p w14:paraId="0680BB93" w14:textId="13049973" w:rsidR="00AD2A96" w:rsidRPr="00654160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 w:rsidRPr="008A113A">
              <w:rPr>
                <w:vertAlign w:val="superscript"/>
                <w:lang w:eastAsia="en-AU"/>
              </w:rPr>
              <w:t xml:space="preserve"> 2</w:t>
            </w:r>
            <w:r w:rsidR="001C2183">
              <w:rPr>
                <w:vertAlign w:val="superscript"/>
                <w:lang w:eastAsia="en-AU"/>
              </w:rPr>
              <w:t>, 3</w:t>
            </w:r>
          </w:p>
        </w:tc>
        <w:tc>
          <w:tcPr>
            <w:tcW w:w="14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A8BD83" w14:textId="77777777" w:rsidR="00AD2A96" w:rsidRPr="00654160" w:rsidRDefault="00AD2A96" w:rsidP="001E66D8">
            <w:pPr>
              <w:jc w:val="center"/>
              <w:rPr>
                <w:lang w:eastAsia="en-AU"/>
              </w:rPr>
            </w:pPr>
          </w:p>
        </w:tc>
      </w:tr>
      <w:tr w:rsidR="00AD2A96" w:rsidRPr="00AE5E90" w14:paraId="5B0BF229" w14:textId="77777777" w:rsidTr="001E66D8">
        <w:tc>
          <w:tcPr>
            <w:tcW w:w="2410" w:type="dxa"/>
            <w:vAlign w:val="center"/>
          </w:tcPr>
          <w:p w14:paraId="4A9C6AE3" w14:textId="77777777" w:rsidR="00AD2A96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Aboriginal Health Worker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BD6A1E" w14:textId="77777777" w:rsidR="00AD2A96" w:rsidRDefault="00AD2A96" w:rsidP="001E66D8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vAlign w:val="center"/>
          </w:tcPr>
          <w:p w14:paraId="169CF112" w14:textId="77777777" w:rsidR="00AD2A96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1DD8EFDF" w14:textId="77777777" w:rsidR="00AD2A96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1, 2</w:t>
            </w:r>
          </w:p>
        </w:tc>
        <w:tc>
          <w:tcPr>
            <w:tcW w:w="1497" w:type="dxa"/>
            <w:vAlign w:val="center"/>
          </w:tcPr>
          <w:p w14:paraId="2676F78F" w14:textId="09FE5C3B" w:rsidR="00AD2A96" w:rsidRDefault="00AD2A96" w:rsidP="001E66D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8A113A">
              <w:rPr>
                <w:vertAlign w:val="superscript"/>
                <w:lang w:eastAsia="en-AU"/>
              </w:rPr>
              <w:t>2</w:t>
            </w:r>
            <w:r w:rsidR="001C2183">
              <w:rPr>
                <w:vertAlign w:val="superscript"/>
                <w:lang w:eastAsia="en-AU"/>
              </w:rPr>
              <w:t>, 3</w:t>
            </w:r>
          </w:p>
        </w:tc>
        <w:tc>
          <w:tcPr>
            <w:tcW w:w="14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03EF9B" w14:textId="77777777" w:rsidR="00AD2A96" w:rsidRDefault="00AD2A96" w:rsidP="001E66D8">
            <w:pPr>
              <w:jc w:val="center"/>
              <w:rPr>
                <w:lang w:eastAsia="en-AU"/>
              </w:rPr>
            </w:pPr>
          </w:p>
        </w:tc>
      </w:tr>
    </w:tbl>
    <w:p w14:paraId="7455FB76" w14:textId="77777777" w:rsidR="00AD2A96" w:rsidRDefault="00AD2A96" w:rsidP="00AD2A96"/>
    <w:p w14:paraId="219CE5A4" w14:textId="77777777" w:rsidR="00AD2A96" w:rsidRDefault="00AD2A96" w:rsidP="00AD2A96"/>
    <w:p w14:paraId="1B227D27" w14:textId="77777777" w:rsidR="00AD2A96" w:rsidRDefault="00AD2A96" w:rsidP="00AD2A96"/>
    <w:p w14:paraId="1527F9F7" w14:textId="77777777" w:rsidR="00AD2A96" w:rsidRDefault="00AD2A96" w:rsidP="00AD2A96"/>
    <w:p w14:paraId="39AD466F" w14:textId="77777777" w:rsidR="00AD2A96" w:rsidRDefault="00AD2A96" w:rsidP="00AD2A96"/>
    <w:p w14:paraId="4773D1A9" w14:textId="77777777" w:rsidR="00AD2A96" w:rsidRDefault="00AD2A96" w:rsidP="00AD2A96"/>
    <w:p w14:paraId="0C852C1F" w14:textId="77777777" w:rsidR="00AD2A96" w:rsidRPr="00693EB1" w:rsidRDefault="00AD2A96" w:rsidP="00A46A6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93EB1">
        <w:rPr>
          <w:sz w:val="20"/>
          <w:szCs w:val="20"/>
        </w:rPr>
        <w:t xml:space="preserve">under direction of an authorised prescriber. </w:t>
      </w:r>
    </w:p>
    <w:p w14:paraId="4A2F2B02" w14:textId="77777777" w:rsidR="003274A3" w:rsidRPr="00693EB1" w:rsidRDefault="00AD2A96" w:rsidP="00A46A6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93EB1">
        <w:rPr>
          <w:sz w:val="20"/>
          <w:szCs w:val="20"/>
        </w:rPr>
        <w:t xml:space="preserve">in accordance with a </w:t>
      </w:r>
      <w:hyperlink r:id="rId11" w:history="1">
        <w:r w:rsidRPr="00693EB1">
          <w:rPr>
            <w:rStyle w:val="Hyperlink"/>
            <w:sz w:val="20"/>
            <w:szCs w:val="20"/>
          </w:rPr>
          <w:t>Structured Administration and Supply Arrangement</w:t>
        </w:r>
      </w:hyperlink>
      <w:r w:rsidR="00497F13" w:rsidRPr="00693EB1">
        <w:rPr>
          <w:sz w:val="20"/>
          <w:szCs w:val="20"/>
        </w:rPr>
        <w:t xml:space="preserve"> </w:t>
      </w:r>
    </w:p>
    <w:p w14:paraId="1343080F" w14:textId="00130474" w:rsidR="00926854" w:rsidRPr="00693EB1" w:rsidRDefault="00497F13" w:rsidP="00A46A6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93EB1">
        <w:rPr>
          <w:sz w:val="20"/>
          <w:szCs w:val="20"/>
        </w:rPr>
        <w:t xml:space="preserve">from a remote clinic </w:t>
      </w:r>
      <w:r w:rsidR="002C3C77" w:rsidRPr="00693EB1">
        <w:rPr>
          <w:sz w:val="20"/>
          <w:szCs w:val="20"/>
        </w:rPr>
        <w:t xml:space="preserve">as </w:t>
      </w:r>
      <w:r w:rsidR="0054772E" w:rsidRPr="00693EB1">
        <w:rPr>
          <w:sz w:val="20"/>
          <w:szCs w:val="20"/>
        </w:rPr>
        <w:t>in accordance to</w:t>
      </w:r>
      <w:r w:rsidR="009446FC" w:rsidRPr="00693EB1">
        <w:rPr>
          <w:sz w:val="20"/>
          <w:szCs w:val="20"/>
        </w:rPr>
        <w:t xml:space="preserve"> </w:t>
      </w:r>
      <w:r w:rsidR="000A66A3" w:rsidRPr="00693EB1">
        <w:rPr>
          <w:sz w:val="20"/>
          <w:szCs w:val="20"/>
        </w:rPr>
        <w:t xml:space="preserve">regulation </w:t>
      </w:r>
      <w:r w:rsidR="002C3C77" w:rsidRPr="00693EB1">
        <w:rPr>
          <w:sz w:val="20"/>
          <w:szCs w:val="20"/>
        </w:rPr>
        <w:t xml:space="preserve">41(3)(a) of the </w:t>
      </w:r>
      <w:hyperlink r:id="rId12" w:history="1">
        <w:r w:rsidR="002C3C77" w:rsidRPr="00693EB1">
          <w:rPr>
            <w:rStyle w:val="Hyperlink"/>
            <w:bCs/>
            <w:sz w:val="20"/>
            <w:szCs w:val="20"/>
          </w:rPr>
          <w:t>Medicines and Poisons Regulations 2016</w:t>
        </w:r>
      </w:hyperlink>
      <w:r w:rsidR="002C3C77" w:rsidRPr="00693EB1">
        <w:rPr>
          <w:sz w:val="20"/>
          <w:szCs w:val="20"/>
        </w:rPr>
        <w:t>.</w:t>
      </w:r>
    </w:p>
    <w:p w14:paraId="7B8F1F7A" w14:textId="32D43D5E" w:rsidR="00AD2A96" w:rsidRDefault="00AD2A96" w:rsidP="00AD2A96">
      <w:pPr>
        <w:pStyle w:val="Copy"/>
      </w:pPr>
      <w:r>
        <w:lastRenderedPageBreak/>
        <w:t>Any authority is limited to the lawful practice of the professional and includes:</w:t>
      </w:r>
    </w:p>
    <w:p w14:paraId="3CB793EA" w14:textId="1D89AAA4" w:rsidR="00AD2A96" w:rsidRPr="00A46A64" w:rsidRDefault="002C304D" w:rsidP="00A46A64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t xml:space="preserve">working </w:t>
      </w:r>
      <w:r w:rsidR="00AD2A96">
        <w:t xml:space="preserve">within scope of practice / general professional limitations </w:t>
      </w:r>
      <w:r w:rsidR="00926854">
        <w:t xml:space="preserve">as defined by the </w:t>
      </w:r>
      <w:hyperlink r:id="rId13" w:history="1">
        <w:r w:rsidR="00926854" w:rsidRPr="005A6014">
          <w:rPr>
            <w:rStyle w:val="Hyperlink"/>
          </w:rPr>
          <w:t>Aboriginal and Torres Strait Islander Health Practice Board of Australia.</w:t>
        </w:r>
      </w:hyperlink>
    </w:p>
    <w:p w14:paraId="3BFB24A1" w14:textId="0272BCC8" w:rsidR="002C304D" w:rsidRDefault="002C304D" w:rsidP="00A46A64">
      <w:pPr>
        <w:pStyle w:val="ListParagraph"/>
        <w:numPr>
          <w:ilvl w:val="0"/>
          <w:numId w:val="9"/>
        </w:numPr>
      </w:pPr>
      <w:r>
        <w:t xml:space="preserve">any relevant restrictions or conditions imposed on the individual practitioner </w:t>
      </w:r>
    </w:p>
    <w:p w14:paraId="5121B8C8" w14:textId="7F87C1B7" w:rsidR="003F5B8F" w:rsidRDefault="001F3EA0" w:rsidP="00A46A64">
      <w:pPr>
        <w:pStyle w:val="ListParagraph"/>
        <w:numPr>
          <w:ilvl w:val="0"/>
          <w:numId w:val="9"/>
        </w:numPr>
      </w:pPr>
      <w:r>
        <w:t>w</w:t>
      </w:r>
      <w:r w:rsidR="002C304D">
        <w:t xml:space="preserve">orking </w:t>
      </w:r>
      <w:r w:rsidR="00AD2A96">
        <w:t>within scope of employment</w:t>
      </w:r>
      <w:r w:rsidR="00926854">
        <w:t xml:space="preserve"> for Aboriginal health workers is as defined in conditions of </w:t>
      </w:r>
      <w:r w:rsidR="003F5B8F">
        <w:t>employment with an ACCHS or by WA Health</w:t>
      </w:r>
      <w:r w:rsidR="002C304D">
        <w:t xml:space="preserve"> </w:t>
      </w:r>
    </w:p>
    <w:p w14:paraId="6C3384D1" w14:textId="77777777" w:rsidR="00AD2A96" w:rsidRDefault="00AD2A96" w:rsidP="00AD2A96">
      <w:pPr>
        <w:pStyle w:val="Heading2"/>
      </w:pPr>
      <w:r>
        <w:t>Purchasing medicines</w:t>
      </w:r>
    </w:p>
    <w:p w14:paraId="0F7B466E" w14:textId="6E0DA925" w:rsidR="00AD2A96" w:rsidRDefault="00AD2A96" w:rsidP="00AD2A96">
      <w:pPr>
        <w:rPr>
          <w:lang w:val="en-US"/>
        </w:rPr>
      </w:pPr>
      <w:r>
        <w:rPr>
          <w:lang w:val="en-US"/>
        </w:rPr>
        <w:t>Medicines must be purchased by an authorised health practitioner (e.g. medical practitioner) or Permit holder (e.g. A</w:t>
      </w:r>
      <w:r w:rsidR="003F5B8F">
        <w:rPr>
          <w:lang w:val="en-US"/>
        </w:rPr>
        <w:t>CCHS</w:t>
      </w:r>
      <w:r>
        <w:rPr>
          <w:lang w:val="en-US"/>
        </w:rPr>
        <w:t xml:space="preserve"> or hospital), in accordance with the </w:t>
      </w:r>
      <w:hyperlink r:id="rId14" w:history="1">
        <w:r w:rsidRPr="003274A3">
          <w:rPr>
            <w:rStyle w:val="Hyperlink"/>
            <w:lang w:val="en-US"/>
          </w:rPr>
          <w:t>Regulations.</w:t>
        </w:r>
      </w:hyperlink>
      <w:r>
        <w:rPr>
          <w:lang w:val="en-US"/>
        </w:rPr>
        <w:t xml:space="preserve"> </w:t>
      </w:r>
    </w:p>
    <w:p w14:paraId="0749B139" w14:textId="77777777" w:rsidR="00AD2A96" w:rsidRDefault="00AD2A96" w:rsidP="00AD2A96">
      <w:pPr>
        <w:pStyle w:val="Heading2"/>
      </w:pPr>
      <w:r>
        <w:t>Supply and administration</w:t>
      </w:r>
    </w:p>
    <w:p w14:paraId="31208138" w14:textId="77777777" w:rsidR="00AD2A96" w:rsidRDefault="00AD2A96" w:rsidP="00AD2A96">
      <w:r>
        <w:t>Aboriginal health practitioners and Aboriginal health workers may administer a Schedule 4 (S4) medicine in accordance with their authority, when directed by an authorised prescriber or in accordance with a Structured Administration and Supply Arrangement.</w:t>
      </w:r>
    </w:p>
    <w:p w14:paraId="470A0CF2" w14:textId="774D0521" w:rsidR="00AD2A96" w:rsidRDefault="00AD2A96" w:rsidP="00AD2A96">
      <w:r>
        <w:t xml:space="preserve">Aboriginal health practitioners and Aboriginal health workers may supply a S4 medicine in accordance with a </w:t>
      </w:r>
      <w:r w:rsidRPr="0054772E">
        <w:t>Structured Administration and Supply Arrangement</w:t>
      </w:r>
      <w:r w:rsidR="001F3EA0">
        <w:t xml:space="preserve"> </w:t>
      </w:r>
      <w:r w:rsidR="0054772E">
        <w:t>Medicine suppl</w:t>
      </w:r>
      <w:r w:rsidR="004C5AF6">
        <w:t>ied</w:t>
      </w:r>
      <w:r w:rsidR="0054772E">
        <w:t xml:space="preserve"> from a remote clinic is </w:t>
      </w:r>
      <w:r w:rsidR="001E2096">
        <w:t xml:space="preserve">only </w:t>
      </w:r>
      <w:r w:rsidR="0054772E">
        <w:t xml:space="preserve">for </w:t>
      </w:r>
      <w:r w:rsidR="00DF70A4">
        <w:t xml:space="preserve">current </w:t>
      </w:r>
      <w:r w:rsidR="0054772E">
        <w:t>chronic condition</w:t>
      </w:r>
      <w:r w:rsidR="001E2096">
        <w:t>s</w:t>
      </w:r>
      <w:r w:rsidR="00C95235">
        <w:t xml:space="preserve"> and t</w:t>
      </w:r>
      <w:r w:rsidR="0054772E">
        <w:t xml:space="preserve">his supply is to be given under the direction </w:t>
      </w:r>
      <w:r w:rsidR="00C13261">
        <w:t>of a prescriber.</w:t>
      </w:r>
      <w:r w:rsidR="00A46A64">
        <w:t xml:space="preserve"> </w:t>
      </w:r>
      <w:r>
        <w:t xml:space="preserve">Any medicine supplied must be appropriately packaged and </w:t>
      </w:r>
      <w:hyperlink r:id="rId15" w:history="1">
        <w:r w:rsidRPr="00235D87">
          <w:rPr>
            <w:rStyle w:val="Hyperlink"/>
          </w:rPr>
          <w:t>fully labelled</w:t>
        </w:r>
      </w:hyperlink>
      <w:r w:rsidRPr="00235D87">
        <w:t xml:space="preserve"> in accordance with the Regulations.</w:t>
      </w:r>
      <w:r>
        <w:t xml:space="preserve"> </w:t>
      </w:r>
    </w:p>
    <w:p w14:paraId="679F8451" w14:textId="77777777" w:rsidR="00AD2A96" w:rsidRDefault="00AD2A96" w:rsidP="00AD2A96">
      <w:pPr>
        <w:pStyle w:val="Heading2"/>
      </w:pPr>
      <w:r>
        <w:t>Storage</w:t>
      </w:r>
    </w:p>
    <w:p w14:paraId="6DA4008C" w14:textId="77777777" w:rsidR="00AD2A96" w:rsidRDefault="00AD2A96" w:rsidP="00AD2A96">
      <w:pPr>
        <w:pStyle w:val="Copy"/>
      </w:pPr>
      <w:r>
        <w:t xml:space="preserve">S4 medicines must be stored in a locked storage facility to prevent unauthorised access. For example: a lockable room, cupboard, cabinet or refrigerator. Precautions must be taken to ensure keys are not accessible to unauthorised staff. </w:t>
      </w:r>
    </w:p>
    <w:p w14:paraId="47B5F4FE" w14:textId="77777777" w:rsidR="00AD2A96" w:rsidRDefault="00AD2A96" w:rsidP="00AD2A96">
      <w:pPr>
        <w:pStyle w:val="Heading2"/>
      </w:pPr>
      <w:r>
        <w:t>Recording</w:t>
      </w:r>
    </w:p>
    <w:p w14:paraId="2A84911C" w14:textId="7C54205E" w:rsidR="00AD2A96" w:rsidRDefault="00AD2A96" w:rsidP="00AD2A96">
      <w:pPr>
        <w:pStyle w:val="Copy"/>
      </w:pPr>
      <w:r>
        <w:t xml:space="preserve">Aboriginal health practitioners and Aboriginal health workers must make accurate clinical records of all medicines administered or supplied and retain these for at least 2 years for S4 medicines.  All records must be available to be produced </w:t>
      </w:r>
      <w:r w:rsidR="00BD0ECA">
        <w:t xml:space="preserve">to </w:t>
      </w:r>
      <w:r>
        <w:t>an authorised officer of the Department of Health.</w:t>
      </w:r>
    </w:p>
    <w:p w14:paraId="3ABFBB09" w14:textId="77777777" w:rsidR="00AD2A96" w:rsidRDefault="00AD2A96" w:rsidP="00AD2A96">
      <w:pPr>
        <w:pStyle w:val="Heading2"/>
      </w:pPr>
      <w:r>
        <w:t>Compliance assessment</w:t>
      </w:r>
    </w:p>
    <w:p w14:paraId="3B9E3247" w14:textId="2A4CAD08" w:rsidR="00AD2A96" w:rsidRPr="00075FBC" w:rsidRDefault="00AD2A96" w:rsidP="00AD2A96">
      <w:pPr>
        <w:pStyle w:val="Copy"/>
      </w:pPr>
      <w:r>
        <w:t xml:space="preserve">Aboriginal health practitioners and Aboriginal health workers may be required to participate in routine audit assessments to monitor compliance with these requirements. Non-compliance with the Regulations may result in regulatory actions such as restrictions or loss of medicines authorities, notification to the </w:t>
      </w:r>
      <w:r w:rsidRPr="00D068DC">
        <w:t>Aboriginal and Torres Strait Islander Health Practice Board of Australia</w:t>
      </w:r>
      <w:r>
        <w:t xml:space="preserve">, and/or prosecution under the legislation. </w:t>
      </w:r>
    </w:p>
    <w:p w14:paraId="3EFBA622" w14:textId="77777777" w:rsidR="00AD2A96" w:rsidRDefault="00AD2A96" w:rsidP="00AD2A96">
      <w:pPr>
        <w:pStyle w:val="Heading2"/>
      </w:pPr>
      <w:r>
        <w:t>More information</w:t>
      </w:r>
    </w:p>
    <w:p w14:paraId="5721461C" w14:textId="77777777" w:rsidR="00AD2A96" w:rsidRDefault="00AD2A96" w:rsidP="00A46A64">
      <w:r>
        <w:t xml:space="preserve">For more information contact the Medicines and Poisons Regulation Branch on: </w:t>
      </w:r>
    </w:p>
    <w:p w14:paraId="2C9DCDB6" w14:textId="477B10E7" w:rsidR="00AD2A96" w:rsidRPr="00A46A64" w:rsidRDefault="00AD2A96" w:rsidP="0003771D">
      <w:pPr>
        <w:pStyle w:val="ListParagraph"/>
        <w:numPr>
          <w:ilvl w:val="0"/>
          <w:numId w:val="11"/>
        </w:numPr>
        <w:rPr>
          <w:b/>
        </w:rPr>
      </w:pPr>
      <w:r>
        <w:t>(08) 9222 6883 (Monday – Friday, 8.30am – 4.30pm)</w:t>
      </w:r>
      <w:r w:rsidR="00A46A64">
        <w:t>,</w:t>
      </w:r>
      <w:r w:rsidRPr="00A46A64">
        <w:rPr>
          <w:b/>
        </w:rPr>
        <w:t xml:space="preserve"> </w:t>
      </w:r>
      <w:hyperlink r:id="rId16" w:history="1">
        <w:r w:rsidR="003274A3" w:rsidRPr="00D12622">
          <w:rPr>
            <w:rStyle w:val="Hyperlink"/>
          </w:rPr>
          <w:t>mprb@health.wa.gov.au</w:t>
        </w:r>
      </w:hyperlink>
    </w:p>
    <w:sectPr w:rsidR="00AD2A96" w:rsidRPr="00A46A64" w:rsidSect="00204ED3">
      <w:footerReference w:type="default" r:id="rId17"/>
      <w:headerReference w:type="first" r:id="rId18"/>
      <w:footerReference w:type="first" r:id="rId19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C002" w14:textId="77777777" w:rsidR="00AA6A54" w:rsidRDefault="00AA6A54" w:rsidP="0013662A">
      <w:pPr>
        <w:spacing w:after="0"/>
      </w:pPr>
      <w:r>
        <w:separator/>
      </w:r>
    </w:p>
  </w:endnote>
  <w:endnote w:type="continuationSeparator" w:id="0">
    <w:p w14:paraId="57F0F623" w14:textId="77777777" w:rsidR="00AA6A54" w:rsidRDefault="00AA6A54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F22F" w14:textId="25C99941" w:rsidR="008939C5" w:rsidRDefault="008939C5" w:rsidP="008939C5">
    <w:pPr>
      <w:spacing w:after="300"/>
      <w:ind w:right="-1"/>
    </w:pPr>
    <w:r>
      <w:t xml:space="preserve">© Department of Health – Updated </w:t>
    </w:r>
    <w:r w:rsidR="00BD0ECA">
      <w:t>December</w:t>
    </w:r>
    <w:r>
      <w:t xml:space="preserve"> 2023</w:t>
    </w:r>
  </w:p>
  <w:p w14:paraId="12A6102F" w14:textId="7710E06B"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r w:rsidRPr="00483052">
      <w:rPr>
        <w:rFonts w:ascii="Arial" w:hAnsi="Arial"/>
        <w:color w:val="1B2C5B" w:themeColor="accent1"/>
        <w:sz w:val="28"/>
        <w:szCs w:val="28"/>
      </w:rPr>
      <w:t>health.wa.gov.au</w:t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>
      <w:rPr>
        <w:rFonts w:ascii="Arial" w:hAnsi="Arial"/>
        <w:color w:val="1B2C5B" w:themeColor="accent1"/>
        <w:sz w:val="28"/>
        <w:szCs w:val="28"/>
      </w:rPr>
      <w:tab/>
    </w:r>
    <w:r w:rsidR="00C17303" w:rsidRPr="00C17303">
      <w:rPr>
        <w:rFonts w:ascii="Arial" w:hAnsi="Arial"/>
        <w:color w:val="1B2C5B" w:themeColor="accent1"/>
        <w:sz w:val="20"/>
        <w:szCs w:val="20"/>
      </w:rPr>
      <w:t>D00016</w:t>
    </w:r>
    <w:r w:rsidR="00F75D95">
      <w:rPr>
        <w:rFonts w:ascii="Arial" w:hAnsi="Arial"/>
        <w:color w:val="1B2C5B" w:themeColor="accent1"/>
        <w:sz w:val="20"/>
        <w:szCs w:val="20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C8B0" w14:textId="77777777"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2F0A" w14:textId="77777777" w:rsidR="00AA6A54" w:rsidRDefault="00AA6A54" w:rsidP="0013662A">
      <w:pPr>
        <w:spacing w:after="0"/>
      </w:pPr>
      <w:r>
        <w:separator/>
      </w:r>
    </w:p>
  </w:footnote>
  <w:footnote w:type="continuationSeparator" w:id="0">
    <w:p w14:paraId="5545C80E" w14:textId="77777777" w:rsidR="00AA6A54" w:rsidRDefault="00AA6A54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571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A86B508" wp14:editId="7CDBDC6E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E21"/>
    <w:multiLevelType w:val="multilevel"/>
    <w:tmpl w:val="7662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85926"/>
    <w:multiLevelType w:val="hybridMultilevel"/>
    <w:tmpl w:val="AB38FE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16F8"/>
    <w:multiLevelType w:val="hybridMultilevel"/>
    <w:tmpl w:val="9760CADE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5910"/>
    <w:multiLevelType w:val="hybridMultilevel"/>
    <w:tmpl w:val="19E85B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76284"/>
    <w:multiLevelType w:val="hybridMultilevel"/>
    <w:tmpl w:val="5C84965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61C"/>
    <w:multiLevelType w:val="hybridMultilevel"/>
    <w:tmpl w:val="EBD0170C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626477">
    <w:abstractNumId w:val="8"/>
  </w:num>
  <w:num w:numId="2" w16cid:durableId="2021392635">
    <w:abstractNumId w:val="4"/>
  </w:num>
  <w:num w:numId="3" w16cid:durableId="1053845819">
    <w:abstractNumId w:val="6"/>
  </w:num>
  <w:num w:numId="4" w16cid:durableId="956762846">
    <w:abstractNumId w:val="5"/>
  </w:num>
  <w:num w:numId="5" w16cid:durableId="983504166">
    <w:abstractNumId w:val="5"/>
  </w:num>
  <w:num w:numId="6" w16cid:durableId="1142578755">
    <w:abstractNumId w:val="0"/>
  </w:num>
  <w:num w:numId="7" w16cid:durableId="1919901789">
    <w:abstractNumId w:val="1"/>
  </w:num>
  <w:num w:numId="8" w16cid:durableId="887373596">
    <w:abstractNumId w:val="3"/>
  </w:num>
  <w:num w:numId="9" w16cid:durableId="2016417752">
    <w:abstractNumId w:val="7"/>
  </w:num>
  <w:num w:numId="10" w16cid:durableId="1186945080">
    <w:abstractNumId w:val="2"/>
  </w:num>
  <w:num w:numId="11" w16cid:durableId="135487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244A9"/>
    <w:rsid w:val="00037332"/>
    <w:rsid w:val="000514FC"/>
    <w:rsid w:val="000817F3"/>
    <w:rsid w:val="000A66A3"/>
    <w:rsid w:val="001314A5"/>
    <w:rsid w:val="0013662A"/>
    <w:rsid w:val="001437E0"/>
    <w:rsid w:val="00171B7B"/>
    <w:rsid w:val="001C2183"/>
    <w:rsid w:val="001C7D1F"/>
    <w:rsid w:val="001E2096"/>
    <w:rsid w:val="001F3EA0"/>
    <w:rsid w:val="001F6030"/>
    <w:rsid w:val="001F68E9"/>
    <w:rsid w:val="00204ED3"/>
    <w:rsid w:val="00220E8F"/>
    <w:rsid w:val="00232283"/>
    <w:rsid w:val="00235D87"/>
    <w:rsid w:val="002A494B"/>
    <w:rsid w:val="002C304D"/>
    <w:rsid w:val="002C3C77"/>
    <w:rsid w:val="002C7D7D"/>
    <w:rsid w:val="002E5F5B"/>
    <w:rsid w:val="003274A3"/>
    <w:rsid w:val="00355004"/>
    <w:rsid w:val="00360F4F"/>
    <w:rsid w:val="003929E7"/>
    <w:rsid w:val="003F5B8F"/>
    <w:rsid w:val="00466DB9"/>
    <w:rsid w:val="00471692"/>
    <w:rsid w:val="00483052"/>
    <w:rsid w:val="00492C70"/>
    <w:rsid w:val="00497F13"/>
    <w:rsid w:val="004A2809"/>
    <w:rsid w:val="004A609E"/>
    <w:rsid w:val="004C2780"/>
    <w:rsid w:val="004C27CB"/>
    <w:rsid w:val="004C5AF6"/>
    <w:rsid w:val="004C6976"/>
    <w:rsid w:val="00513DD9"/>
    <w:rsid w:val="00521D1A"/>
    <w:rsid w:val="0054772E"/>
    <w:rsid w:val="0056716B"/>
    <w:rsid w:val="00597A85"/>
    <w:rsid w:val="005A409E"/>
    <w:rsid w:val="005A6014"/>
    <w:rsid w:val="005D455D"/>
    <w:rsid w:val="0060570D"/>
    <w:rsid w:val="006671E9"/>
    <w:rsid w:val="00693EB1"/>
    <w:rsid w:val="006F1E2D"/>
    <w:rsid w:val="006F52D0"/>
    <w:rsid w:val="00753150"/>
    <w:rsid w:val="00766155"/>
    <w:rsid w:val="0077027C"/>
    <w:rsid w:val="00794DF0"/>
    <w:rsid w:val="007A06B7"/>
    <w:rsid w:val="007C3222"/>
    <w:rsid w:val="007D3AE7"/>
    <w:rsid w:val="007D793C"/>
    <w:rsid w:val="007E0C78"/>
    <w:rsid w:val="00806ADC"/>
    <w:rsid w:val="00881846"/>
    <w:rsid w:val="00882643"/>
    <w:rsid w:val="008939C5"/>
    <w:rsid w:val="00897837"/>
    <w:rsid w:val="008C5F51"/>
    <w:rsid w:val="008C6F0A"/>
    <w:rsid w:val="008E3665"/>
    <w:rsid w:val="008F7FE4"/>
    <w:rsid w:val="00926854"/>
    <w:rsid w:val="009268E4"/>
    <w:rsid w:val="00930DF8"/>
    <w:rsid w:val="00933CEB"/>
    <w:rsid w:val="0094123A"/>
    <w:rsid w:val="009446FC"/>
    <w:rsid w:val="009668ED"/>
    <w:rsid w:val="00981DA1"/>
    <w:rsid w:val="00986774"/>
    <w:rsid w:val="00990D6C"/>
    <w:rsid w:val="009B0844"/>
    <w:rsid w:val="00A2410B"/>
    <w:rsid w:val="00A46A64"/>
    <w:rsid w:val="00A91C4C"/>
    <w:rsid w:val="00AA1620"/>
    <w:rsid w:val="00AA6A54"/>
    <w:rsid w:val="00AD2A96"/>
    <w:rsid w:val="00AF0C79"/>
    <w:rsid w:val="00B17ECC"/>
    <w:rsid w:val="00B649F4"/>
    <w:rsid w:val="00B85FD3"/>
    <w:rsid w:val="00BB4555"/>
    <w:rsid w:val="00BB5682"/>
    <w:rsid w:val="00BD0ECA"/>
    <w:rsid w:val="00BD41EB"/>
    <w:rsid w:val="00BD7C33"/>
    <w:rsid w:val="00BE3C2D"/>
    <w:rsid w:val="00C13261"/>
    <w:rsid w:val="00C17303"/>
    <w:rsid w:val="00C7143D"/>
    <w:rsid w:val="00C729CE"/>
    <w:rsid w:val="00C95235"/>
    <w:rsid w:val="00CC0B7F"/>
    <w:rsid w:val="00CE4364"/>
    <w:rsid w:val="00CF2778"/>
    <w:rsid w:val="00CF64E2"/>
    <w:rsid w:val="00D108A7"/>
    <w:rsid w:val="00D147D4"/>
    <w:rsid w:val="00D33AB8"/>
    <w:rsid w:val="00D636EE"/>
    <w:rsid w:val="00D83F00"/>
    <w:rsid w:val="00D86894"/>
    <w:rsid w:val="00D9301F"/>
    <w:rsid w:val="00DC6EEC"/>
    <w:rsid w:val="00DD22D0"/>
    <w:rsid w:val="00DE4BFE"/>
    <w:rsid w:val="00DF70A4"/>
    <w:rsid w:val="00E40563"/>
    <w:rsid w:val="00E47483"/>
    <w:rsid w:val="00E775B0"/>
    <w:rsid w:val="00E94109"/>
    <w:rsid w:val="00EB22B9"/>
    <w:rsid w:val="00F647BD"/>
    <w:rsid w:val="00F75D95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2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AD2A96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AD2A96"/>
    <w:pPr>
      <w:spacing w:after="120" w:line="300" w:lineRule="exact"/>
    </w:pPr>
    <w:rPr>
      <w:rFonts w:eastAsia="Calibri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1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F0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0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3F0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tsihealthpracticeboard.gov.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wa.gov.au/legislation/statutes.nsf/main_mrtitle_13861_homepag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prb@health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wa.gov.au/Articles/S_T/Structured-Administration-and-Supply-Arrange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wa.gov.au/Articles/J_M/Labels-on-medicines-and-poisons" TargetMode="External"/><Relationship Id="rId10" Type="http://schemas.openxmlformats.org/officeDocument/2006/relationships/hyperlink" Target="https://www.legislation.wa.gov.au/legislation/statutes.nsf/main_mrtitle_13861_homepage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tsihealthpracticeboard.gov.au/" TargetMode="External"/><Relationship Id="rId14" Type="http://schemas.openxmlformats.org/officeDocument/2006/relationships/hyperlink" Target="https://www.legislation.wa.gov.au/legislation/statutes.nsf/main_mrtitle_13861_homep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7C7F-B170-4ECC-AA0A-8C02C971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12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2023-12-20T00:22:00Z</dcterms:created>
  <dcterms:modified xsi:type="dcterms:W3CDTF">2023-12-20T00:22:00Z</dcterms:modified>
  <cp:contentStatus/>
</cp:coreProperties>
</file>