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4B" w:rsidRDefault="00D40C4B" w:rsidP="008E4E8A">
      <w:pPr>
        <w:pStyle w:val="Subheadlines"/>
        <w:rPr>
          <w:szCs w:val="32"/>
        </w:rPr>
      </w:pPr>
      <w:bookmarkStart w:id="0" w:name="_GoBack"/>
      <w:bookmarkEnd w:id="0"/>
    </w:p>
    <w:p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6F6EB5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6F6EB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:rsidR="00D34BBF" w:rsidRPr="00A84B4B" w:rsidRDefault="00A84B4B" w:rsidP="009065D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A84B4B">
              <w:rPr>
                <w:rFonts w:cs="Arial"/>
                <w:b/>
                <w:color w:val="000000"/>
                <w:szCs w:val="24"/>
              </w:rPr>
              <w:t xml:space="preserve">Supply of </w:t>
            </w:r>
            <w:r w:rsidR="00636820">
              <w:rPr>
                <w:rFonts w:cs="Arial"/>
                <w:b/>
                <w:color w:val="000000"/>
                <w:szCs w:val="24"/>
              </w:rPr>
              <w:t>n</w:t>
            </w:r>
            <w:r w:rsidRPr="00A84B4B">
              <w:rPr>
                <w:rFonts w:cs="Arial"/>
                <w:b/>
                <w:color w:val="000000"/>
                <w:szCs w:val="24"/>
              </w:rPr>
              <w:t xml:space="preserve">aloxone </w:t>
            </w:r>
            <w:r w:rsidR="00636820">
              <w:rPr>
                <w:rFonts w:cs="Arial"/>
                <w:b/>
                <w:color w:val="000000"/>
                <w:szCs w:val="24"/>
              </w:rPr>
              <w:t>for emergency reversal of drug overdose</w:t>
            </w:r>
            <w:r w:rsidRPr="00A84B4B">
              <w:rPr>
                <w:rFonts w:cs="Arial"/>
                <w:b/>
                <w:color w:val="000000"/>
                <w:szCs w:val="24"/>
              </w:rPr>
              <w:t xml:space="preserve"> </w:t>
            </w:r>
          </w:p>
          <w:p w:rsidR="009065DB" w:rsidRPr="006F6EB5" w:rsidRDefault="009065DB" w:rsidP="009065D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:rsidR="0043154B" w:rsidRPr="004A6D3B" w:rsidRDefault="0043154B" w:rsidP="001D7A08">
      <w:pPr>
        <w:rPr>
          <w:b/>
        </w:rPr>
      </w:pPr>
    </w:p>
    <w:p w:rsidR="0055225A" w:rsidRPr="004A6D3B" w:rsidRDefault="0055225A" w:rsidP="002F0044">
      <w:pPr>
        <w:pStyle w:val="ListParagraph"/>
        <w:numPr>
          <w:ilvl w:val="0"/>
          <w:numId w:val="2"/>
        </w:numPr>
        <w:ind w:right="261"/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:rsidR="0055225A" w:rsidRPr="009268DD" w:rsidRDefault="0055225A" w:rsidP="002F0044">
      <w:pPr>
        <w:pStyle w:val="ListParagraph"/>
        <w:ind w:left="357" w:right="261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</w:t>
      </w:r>
      <w:r w:rsidRPr="00E14FC0">
        <w:rPr>
          <w:i/>
        </w:rPr>
        <w:t>Medicines and Poisons Regulations 2016</w:t>
      </w:r>
      <w:r>
        <w:t xml:space="preserve">. </w:t>
      </w:r>
    </w:p>
    <w:p w:rsidR="00A75A49" w:rsidRDefault="00A75A49" w:rsidP="002F0044">
      <w:pPr>
        <w:ind w:right="261"/>
      </w:pPr>
    </w:p>
    <w:p w:rsidR="0055225A" w:rsidRPr="004A6D3B" w:rsidRDefault="0055225A" w:rsidP="002F0044">
      <w:pPr>
        <w:pStyle w:val="ListParagraph"/>
        <w:numPr>
          <w:ilvl w:val="0"/>
          <w:numId w:val="2"/>
        </w:numPr>
        <w:ind w:right="261"/>
        <w:rPr>
          <w:b/>
        </w:rPr>
      </w:pPr>
      <w:r w:rsidRPr="004A6D3B">
        <w:rPr>
          <w:b/>
        </w:rPr>
        <w:t xml:space="preserve">Scope: </w:t>
      </w:r>
    </w:p>
    <w:p w:rsidR="0086473E" w:rsidRPr="00D714F7" w:rsidRDefault="0055225A" w:rsidP="002F0044">
      <w:pPr>
        <w:autoSpaceDE w:val="0"/>
        <w:autoSpaceDN w:val="0"/>
        <w:adjustRightInd w:val="0"/>
        <w:ind w:left="357"/>
        <w:rPr>
          <w:rFonts w:cs="Arial"/>
          <w:b/>
          <w:lang w:eastAsia="en-AU"/>
        </w:rPr>
      </w:pPr>
      <w:r>
        <w:t xml:space="preserve">This </w:t>
      </w:r>
      <w:r w:rsidR="00F83080">
        <w:t xml:space="preserve">authorises </w:t>
      </w:r>
      <w:r w:rsidR="002F0044">
        <w:t xml:space="preserve">staff </w:t>
      </w:r>
      <w:r w:rsidR="00B743FC">
        <w:t>at</w:t>
      </w:r>
      <w:r w:rsidR="008F2495">
        <w:t xml:space="preserve"> </w:t>
      </w:r>
      <w:r w:rsidR="00636820">
        <w:t>a</w:t>
      </w:r>
      <w:r w:rsidR="008F2495">
        <w:t>pproved</w:t>
      </w:r>
      <w:r w:rsidR="00636820">
        <w:t xml:space="preserve"> </w:t>
      </w:r>
      <w:r w:rsidR="002F0044">
        <w:t>drug and alcohol treatment organisation</w:t>
      </w:r>
      <w:r w:rsidR="008F2495">
        <w:t>s</w:t>
      </w:r>
      <w:r w:rsidR="002F0044">
        <w:t xml:space="preserve"> </w:t>
      </w:r>
      <w:r w:rsidR="00B01FDB">
        <w:rPr>
          <w:rFonts w:cs="Arial"/>
          <w:color w:val="000000"/>
          <w:szCs w:val="24"/>
        </w:rPr>
        <w:t>to</w:t>
      </w:r>
      <w:r w:rsidR="009F0EE8">
        <w:rPr>
          <w:rFonts w:cs="Arial"/>
          <w:color w:val="000000"/>
          <w:szCs w:val="24"/>
        </w:rPr>
        <w:t xml:space="preserve"> </w:t>
      </w:r>
      <w:r w:rsidR="0086473E">
        <w:rPr>
          <w:rFonts w:cs="Arial"/>
          <w:color w:val="000000"/>
          <w:szCs w:val="24"/>
        </w:rPr>
        <w:t>supply</w:t>
      </w:r>
      <w:r w:rsidR="00B01FDB">
        <w:rPr>
          <w:rFonts w:cs="Arial"/>
          <w:color w:val="000000"/>
          <w:szCs w:val="24"/>
        </w:rPr>
        <w:t xml:space="preserve"> naloxone </w:t>
      </w:r>
      <w:r w:rsidR="004B5838">
        <w:rPr>
          <w:rFonts w:cs="Arial"/>
          <w:color w:val="000000"/>
          <w:szCs w:val="24"/>
        </w:rPr>
        <w:t xml:space="preserve">for </w:t>
      </w:r>
      <w:r w:rsidR="008F2495">
        <w:rPr>
          <w:rFonts w:cs="Arial"/>
          <w:color w:val="000000"/>
          <w:szCs w:val="24"/>
        </w:rPr>
        <w:t xml:space="preserve">use in </w:t>
      </w:r>
      <w:r w:rsidR="004B5838">
        <w:rPr>
          <w:rFonts w:cs="Arial"/>
          <w:color w:val="000000"/>
          <w:szCs w:val="24"/>
        </w:rPr>
        <w:t xml:space="preserve">the emergency treatment of </w:t>
      </w:r>
      <w:r w:rsidR="0086473E">
        <w:rPr>
          <w:szCs w:val="24"/>
          <w:lang w:val="en-US"/>
        </w:rPr>
        <w:t>opioid overdose.</w:t>
      </w:r>
    </w:p>
    <w:p w:rsidR="0055225A" w:rsidRDefault="0055225A" w:rsidP="002F0044">
      <w:pPr>
        <w:pStyle w:val="ListParagraph"/>
        <w:ind w:left="357" w:right="261"/>
        <w:contextualSpacing w:val="0"/>
      </w:pPr>
    </w:p>
    <w:p w:rsidR="00BE38F6" w:rsidRPr="00653D46" w:rsidRDefault="0055225A" w:rsidP="002F0044">
      <w:pPr>
        <w:pStyle w:val="ListParagraph"/>
        <w:numPr>
          <w:ilvl w:val="0"/>
          <w:numId w:val="2"/>
        </w:numPr>
        <w:ind w:left="357" w:right="261"/>
        <w:contextualSpacing w:val="0"/>
        <w:rPr>
          <w:b/>
        </w:rPr>
      </w:pPr>
      <w:r w:rsidRPr="00653D46">
        <w:rPr>
          <w:b/>
        </w:rPr>
        <w:t xml:space="preserve">Criteria: </w:t>
      </w:r>
    </w:p>
    <w:p w:rsidR="0055225A" w:rsidRDefault="0055225A" w:rsidP="002F0044">
      <w:pPr>
        <w:pStyle w:val="ListParagraph"/>
        <w:ind w:left="357" w:right="261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948"/>
        <w:gridCol w:w="5812"/>
      </w:tblGrid>
      <w:tr w:rsidR="00470A44" w:rsidRPr="006F6EB5" w:rsidTr="008B75C6">
        <w:trPr>
          <w:tblHeader/>
        </w:trPr>
        <w:tc>
          <w:tcPr>
            <w:tcW w:w="294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70A44" w:rsidRPr="006F6EB5" w:rsidRDefault="00470A44" w:rsidP="008B75C6">
            <w:pPr>
              <w:pStyle w:val="ListParagraph"/>
              <w:ind w:left="0" w:right="261"/>
              <w:contextualSpacing w:val="0"/>
              <w:rPr>
                <w:b/>
                <w:bCs/>
                <w:color w:val="000000"/>
                <w:szCs w:val="20"/>
                <w:lang w:eastAsia="en-AU"/>
              </w:rPr>
            </w:pPr>
            <w:r w:rsidRPr="006F6EB5">
              <w:rPr>
                <w:b/>
                <w:bCs/>
                <w:color w:val="000000"/>
                <w:szCs w:val="20"/>
                <w:lang w:eastAsia="en-AU"/>
              </w:rPr>
              <w:t>Practitioner:</w:t>
            </w:r>
          </w:p>
        </w:tc>
        <w:tc>
          <w:tcPr>
            <w:tcW w:w="581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470A44" w:rsidRPr="006F6EB5" w:rsidRDefault="004B5838" w:rsidP="006667C7">
            <w:pPr>
              <w:ind w:right="261"/>
              <w:rPr>
                <w:bCs/>
                <w:color w:val="000000"/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E</w:t>
            </w:r>
            <w:r w:rsidR="0086473E">
              <w:rPr>
                <w:szCs w:val="20"/>
                <w:lang w:eastAsia="en-AU"/>
              </w:rPr>
              <w:t xml:space="preserve">mployed or </w:t>
            </w:r>
            <w:r w:rsidR="001427F7">
              <w:rPr>
                <w:szCs w:val="20"/>
                <w:lang w:eastAsia="en-AU"/>
              </w:rPr>
              <w:t>volunteer</w:t>
            </w:r>
            <w:r>
              <w:rPr>
                <w:szCs w:val="20"/>
                <w:lang w:eastAsia="en-AU"/>
              </w:rPr>
              <w:t xml:space="preserve"> </w:t>
            </w:r>
            <w:r w:rsidR="001427F7">
              <w:rPr>
                <w:szCs w:val="20"/>
                <w:lang w:eastAsia="en-AU"/>
              </w:rPr>
              <w:t>s</w:t>
            </w:r>
            <w:r>
              <w:rPr>
                <w:szCs w:val="20"/>
                <w:lang w:eastAsia="en-AU"/>
              </w:rPr>
              <w:t>taff</w:t>
            </w:r>
            <w:r w:rsidR="006667C7">
              <w:rPr>
                <w:szCs w:val="20"/>
                <w:lang w:eastAsia="en-AU"/>
              </w:rPr>
              <w:t xml:space="preserve">, who </w:t>
            </w:r>
            <w:r w:rsidR="006667C7" w:rsidRPr="00FB428E">
              <w:rPr>
                <w:szCs w:val="20"/>
                <w:lang w:eastAsia="en-AU"/>
              </w:rPr>
              <w:t>have completed approved training</w:t>
            </w:r>
            <w:r w:rsidR="006667C7">
              <w:rPr>
                <w:szCs w:val="20"/>
                <w:lang w:eastAsia="en-AU"/>
              </w:rPr>
              <w:t xml:space="preserve">, working in approved </w:t>
            </w:r>
            <w:r w:rsidR="002F0044">
              <w:t>drug and alcohol treatment organisation</w:t>
            </w:r>
            <w:r w:rsidR="008F2495">
              <w:t>s</w:t>
            </w:r>
            <w:r w:rsidR="006667C7">
              <w:t>.</w:t>
            </w:r>
          </w:p>
        </w:tc>
      </w:tr>
      <w:tr w:rsidR="00470A44" w:rsidRPr="006F6EB5" w:rsidTr="008B75C6">
        <w:tc>
          <w:tcPr>
            <w:tcW w:w="2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A44" w:rsidRPr="006F6EB5" w:rsidRDefault="00470A44" w:rsidP="008B75C6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Practice setting: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70A44" w:rsidRPr="00E56899" w:rsidRDefault="00E56899" w:rsidP="00E56899">
            <w:pPr>
              <w:spacing w:after="120"/>
              <w:jc w:val="both"/>
              <w:rPr>
                <w:rFonts w:cs="Arial"/>
              </w:rPr>
            </w:pPr>
            <w:r w:rsidRPr="00E56899">
              <w:rPr>
                <w:rFonts w:cs="Arial"/>
              </w:rPr>
              <w:t xml:space="preserve">Premises named on a current Health Service Permit issued under the </w:t>
            </w:r>
            <w:r w:rsidRPr="00E56899">
              <w:rPr>
                <w:rFonts w:cs="Arial"/>
                <w:i/>
              </w:rPr>
              <w:t>Medicines and Poisons Regulations 2016</w:t>
            </w:r>
            <w:r w:rsidRPr="00E56899">
              <w:rPr>
                <w:rFonts w:cs="Arial"/>
              </w:rPr>
              <w:t>, where the purpose of the Permit is for the Take Home Naloxone Pilot.</w:t>
            </w:r>
          </w:p>
        </w:tc>
      </w:tr>
      <w:tr w:rsidR="00470A44" w:rsidRPr="006F6EB5" w:rsidTr="008B75C6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A44" w:rsidRPr="006F6EB5" w:rsidRDefault="00470A44" w:rsidP="008B75C6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activity: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A44" w:rsidRPr="006F6EB5" w:rsidRDefault="0019297F" w:rsidP="0019297F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S</w:t>
            </w:r>
            <w:r w:rsidR="00FB428E">
              <w:rPr>
                <w:szCs w:val="20"/>
                <w:lang w:eastAsia="en-AU"/>
              </w:rPr>
              <w:t>upply</w:t>
            </w:r>
            <w:r w:rsidR="006826D3">
              <w:rPr>
                <w:szCs w:val="20"/>
                <w:lang w:eastAsia="en-AU"/>
              </w:rPr>
              <w:t>.</w:t>
            </w:r>
          </w:p>
        </w:tc>
      </w:tr>
      <w:tr w:rsidR="00470A44" w:rsidRPr="006F6EB5" w:rsidTr="008B75C6">
        <w:tc>
          <w:tcPr>
            <w:tcW w:w="2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A44" w:rsidRPr="006F6EB5" w:rsidRDefault="00470A44" w:rsidP="008B75C6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medicines: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70A44" w:rsidRPr="0086473E" w:rsidRDefault="0086473E" w:rsidP="0088202F">
            <w:pPr>
              <w:ind w:right="261"/>
              <w:rPr>
                <w:szCs w:val="20"/>
                <w:lang w:eastAsia="en-AU"/>
              </w:rPr>
            </w:pPr>
            <w:r w:rsidRPr="0086473E">
              <w:rPr>
                <w:szCs w:val="20"/>
                <w:lang w:eastAsia="en-AU"/>
              </w:rPr>
              <w:t>Na</w:t>
            </w:r>
            <w:r>
              <w:rPr>
                <w:szCs w:val="20"/>
                <w:lang w:eastAsia="en-AU"/>
              </w:rPr>
              <w:t xml:space="preserve">loxone </w:t>
            </w:r>
            <w:r w:rsidRPr="0086473E">
              <w:rPr>
                <w:szCs w:val="20"/>
                <w:lang w:eastAsia="en-AU"/>
              </w:rPr>
              <w:t xml:space="preserve">when included in Schedule 3 of the </w:t>
            </w:r>
            <w:r>
              <w:rPr>
                <w:szCs w:val="20"/>
                <w:lang w:eastAsia="en-AU"/>
              </w:rPr>
              <w:t>S</w:t>
            </w:r>
            <w:r w:rsidR="0088202F">
              <w:rPr>
                <w:szCs w:val="20"/>
                <w:lang w:eastAsia="en-AU"/>
              </w:rPr>
              <w:t>tandard for the Uniform Scheduling of Medicines and Poisons</w:t>
            </w:r>
            <w:r w:rsidR="006826D3">
              <w:rPr>
                <w:szCs w:val="20"/>
                <w:lang w:eastAsia="en-AU"/>
              </w:rPr>
              <w:t xml:space="preserve"> (SUSMP).</w:t>
            </w:r>
          </w:p>
        </w:tc>
      </w:tr>
      <w:tr w:rsidR="0019297F" w:rsidRPr="006F6EB5" w:rsidTr="008B75C6">
        <w:tc>
          <w:tcPr>
            <w:tcW w:w="2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297F" w:rsidRPr="0019297F" w:rsidRDefault="0019297F" w:rsidP="008B75C6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19297F">
              <w:rPr>
                <w:b/>
              </w:rPr>
              <w:t>Medical conditions: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9297F" w:rsidRDefault="00C12CA6" w:rsidP="006826D3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Emergency reversal of o</w:t>
            </w:r>
            <w:r w:rsidR="003B4208">
              <w:rPr>
                <w:szCs w:val="20"/>
                <w:lang w:eastAsia="en-AU"/>
              </w:rPr>
              <w:t>pioid</w:t>
            </w:r>
            <w:r w:rsidR="0019297F">
              <w:rPr>
                <w:szCs w:val="20"/>
                <w:lang w:eastAsia="en-AU"/>
              </w:rPr>
              <w:t xml:space="preserve"> </w:t>
            </w:r>
            <w:r w:rsidR="003B4208">
              <w:rPr>
                <w:szCs w:val="20"/>
                <w:lang w:eastAsia="en-AU"/>
              </w:rPr>
              <w:t>overdose</w:t>
            </w:r>
            <w:r w:rsidR="006826D3">
              <w:rPr>
                <w:szCs w:val="20"/>
                <w:lang w:eastAsia="en-AU"/>
              </w:rPr>
              <w:t>.</w:t>
            </w:r>
          </w:p>
        </w:tc>
      </w:tr>
    </w:tbl>
    <w:p w:rsidR="0019297F" w:rsidRPr="00F279E4" w:rsidRDefault="0019297F" w:rsidP="00740D64">
      <w:pPr>
        <w:ind w:right="261"/>
        <w:rPr>
          <w:b/>
        </w:rPr>
      </w:pPr>
    </w:p>
    <w:p w:rsidR="0055225A" w:rsidRPr="008F2495" w:rsidRDefault="00740D64" w:rsidP="008F2495">
      <w:pPr>
        <w:pStyle w:val="ListParagraph"/>
        <w:numPr>
          <w:ilvl w:val="0"/>
          <w:numId w:val="2"/>
        </w:numPr>
        <w:rPr>
          <w:b/>
        </w:rPr>
      </w:pPr>
      <w:r w:rsidRPr="008F2495">
        <w:rPr>
          <w:b/>
        </w:rPr>
        <w:t>C</w:t>
      </w:r>
      <w:r w:rsidR="0055225A" w:rsidRPr="008F2495">
        <w:rPr>
          <w:b/>
        </w:rPr>
        <w:t>onditions:</w:t>
      </w:r>
    </w:p>
    <w:p w:rsidR="008C67B4" w:rsidRPr="00A36BFD" w:rsidRDefault="008C67B4" w:rsidP="0088202F">
      <w:pPr>
        <w:ind w:left="357"/>
      </w:pPr>
      <w:r w:rsidRPr="00A36BFD">
        <w:t xml:space="preserve">The </w:t>
      </w:r>
      <w:r w:rsidR="0057123F">
        <w:t>supply</w:t>
      </w:r>
      <w:r w:rsidRPr="00A36BFD">
        <w:t xml:space="preserve"> of medicines under this SASA is subject to </w:t>
      </w:r>
      <w:r w:rsidR="0057123F">
        <w:t>the conditions</w:t>
      </w:r>
      <w:r w:rsidR="006667C7">
        <w:t xml:space="preserve"> that</w:t>
      </w:r>
      <w:r w:rsidR="0057123F">
        <w:t>:</w:t>
      </w:r>
    </w:p>
    <w:p w:rsidR="0088202F" w:rsidRDefault="006667C7" w:rsidP="0088202F">
      <w:pPr>
        <w:pStyle w:val="ListParagraph"/>
        <w:numPr>
          <w:ilvl w:val="0"/>
          <w:numId w:val="5"/>
        </w:numPr>
        <w:contextualSpacing w:val="0"/>
      </w:pPr>
      <w:r>
        <w:t>t</w:t>
      </w:r>
      <w:r w:rsidR="0088202F">
        <w:t>he medicine is not being offered for retail sale.</w:t>
      </w:r>
    </w:p>
    <w:p w:rsidR="00C27B16" w:rsidRDefault="006667C7" w:rsidP="00C27B16">
      <w:pPr>
        <w:pStyle w:val="ListParagraph"/>
        <w:numPr>
          <w:ilvl w:val="0"/>
          <w:numId w:val="5"/>
        </w:numPr>
        <w:contextualSpacing w:val="0"/>
      </w:pPr>
      <w:r>
        <w:t>t</w:t>
      </w:r>
      <w:r w:rsidR="0055225A" w:rsidRPr="00A36BFD">
        <w:t xml:space="preserve">he </w:t>
      </w:r>
      <w:r w:rsidR="00A36BFD" w:rsidRPr="00A36BFD">
        <w:t xml:space="preserve">staff member </w:t>
      </w:r>
      <w:r w:rsidR="003E772E" w:rsidRPr="00A36BFD">
        <w:t>must</w:t>
      </w:r>
      <w:r w:rsidR="00C27B16">
        <w:t>:</w:t>
      </w:r>
    </w:p>
    <w:p w:rsidR="003E7FFE" w:rsidRDefault="00470A44" w:rsidP="00C27B16">
      <w:pPr>
        <w:pStyle w:val="ListParagraph"/>
        <w:numPr>
          <w:ilvl w:val="0"/>
          <w:numId w:val="14"/>
        </w:numPr>
        <w:contextualSpacing w:val="0"/>
      </w:pPr>
      <w:r w:rsidRPr="00A36BFD">
        <w:t>have successfully completed</w:t>
      </w:r>
      <w:r w:rsidR="00D70219">
        <w:t xml:space="preserve"> WA Naloxone </w:t>
      </w:r>
      <w:r w:rsidR="0099531C">
        <w:t>Project</w:t>
      </w:r>
      <w:r w:rsidR="000D54E7">
        <w:t>s</w:t>
      </w:r>
      <w:r w:rsidR="00D70219">
        <w:t xml:space="preserve"> Training, conducted by the </w:t>
      </w:r>
      <w:r w:rsidR="003E772E" w:rsidRPr="00A36BFD">
        <w:t xml:space="preserve">Mental Health </w:t>
      </w:r>
      <w:r w:rsidR="00C1574B" w:rsidRPr="00A36BFD">
        <w:t>Commission</w:t>
      </w:r>
      <w:r w:rsidR="002F0044">
        <w:t>; and</w:t>
      </w:r>
    </w:p>
    <w:p w:rsidR="00CE2830" w:rsidRDefault="00CE2830" w:rsidP="00C27B16">
      <w:pPr>
        <w:pStyle w:val="ListParagraph"/>
        <w:numPr>
          <w:ilvl w:val="0"/>
          <w:numId w:val="14"/>
        </w:numPr>
        <w:contextualSpacing w:val="0"/>
      </w:pPr>
      <w:r>
        <w:lastRenderedPageBreak/>
        <w:t xml:space="preserve">be </w:t>
      </w:r>
      <w:r w:rsidR="00B743FC">
        <w:t xml:space="preserve">authorised </w:t>
      </w:r>
      <w:r w:rsidR="008F2495">
        <w:t xml:space="preserve">by </w:t>
      </w:r>
      <w:r>
        <w:t xml:space="preserve">the employing organisation to participate in </w:t>
      </w:r>
      <w:r w:rsidR="00B743FC">
        <w:t xml:space="preserve">the </w:t>
      </w:r>
      <w:r>
        <w:t>n</w:t>
      </w:r>
      <w:r w:rsidR="00C27B16">
        <w:t>a</w:t>
      </w:r>
      <w:r>
        <w:t>loxone peer supply scheme</w:t>
      </w:r>
      <w:r w:rsidR="00B743FC">
        <w:t xml:space="preserve"> at that site</w:t>
      </w:r>
      <w:r w:rsidR="0088202F">
        <w:t>.</w:t>
      </w:r>
    </w:p>
    <w:p w:rsidR="006826D3" w:rsidRDefault="006667C7" w:rsidP="00C27B16">
      <w:pPr>
        <w:pStyle w:val="ListParagraph"/>
        <w:numPr>
          <w:ilvl w:val="0"/>
          <w:numId w:val="5"/>
        </w:numPr>
        <w:contextualSpacing w:val="0"/>
      </w:pPr>
      <w:r>
        <w:t>o</w:t>
      </w:r>
      <w:r w:rsidR="003B2D0E">
        <w:t>n each occasion</w:t>
      </w:r>
      <w:r w:rsidR="00CF385D">
        <w:t xml:space="preserve"> o</w:t>
      </w:r>
      <w:r w:rsidR="00CE2830">
        <w:t>f supply</w:t>
      </w:r>
      <w:r w:rsidR="006826D3">
        <w:t>:</w:t>
      </w:r>
    </w:p>
    <w:p w:rsidR="00CF385D" w:rsidRDefault="003B2D0E" w:rsidP="006826D3">
      <w:pPr>
        <w:pStyle w:val="ListParagraph"/>
        <w:numPr>
          <w:ilvl w:val="0"/>
          <w:numId w:val="13"/>
        </w:numPr>
        <w:contextualSpacing w:val="0"/>
      </w:pPr>
      <w:r>
        <w:t>t</w:t>
      </w:r>
      <w:r w:rsidR="004B5838">
        <w:t xml:space="preserve">he </w:t>
      </w:r>
      <w:r w:rsidR="00CF385D">
        <w:t xml:space="preserve">supplying </w:t>
      </w:r>
      <w:r w:rsidR="004B5838">
        <w:t>staff member</w:t>
      </w:r>
      <w:r w:rsidR="00CF385D" w:rsidRPr="00CF385D">
        <w:t xml:space="preserve"> </w:t>
      </w:r>
      <w:r w:rsidR="008F2495">
        <w:t xml:space="preserve">must </w:t>
      </w:r>
      <w:r w:rsidR="00CF385D">
        <w:t xml:space="preserve">reasonably believe that </w:t>
      </w:r>
      <w:r w:rsidR="008F2495">
        <w:t xml:space="preserve">access to </w:t>
      </w:r>
      <w:r>
        <w:t>the medicine i</w:t>
      </w:r>
      <w:r w:rsidR="004B5838">
        <w:t xml:space="preserve">s required </w:t>
      </w:r>
      <w:r>
        <w:t>by</w:t>
      </w:r>
      <w:r w:rsidR="004B5838">
        <w:t xml:space="preserve"> th</w:t>
      </w:r>
      <w:r w:rsidR="00CE2830">
        <w:t>e</w:t>
      </w:r>
      <w:r w:rsidR="004B5838">
        <w:t xml:space="preserve"> </w:t>
      </w:r>
      <w:r w:rsidR="00CE2830">
        <w:t xml:space="preserve">client </w:t>
      </w:r>
      <w:r w:rsidR="004B5838">
        <w:t xml:space="preserve">to administer </w:t>
      </w:r>
      <w:r w:rsidR="00C27B16">
        <w:t xml:space="preserve">to </w:t>
      </w:r>
      <w:r w:rsidR="002F0044">
        <w:t xml:space="preserve">reverse </w:t>
      </w:r>
      <w:r w:rsidR="004B5838">
        <w:t>a</w:t>
      </w:r>
      <w:r w:rsidR="008F2495">
        <w:t xml:space="preserve"> likely </w:t>
      </w:r>
      <w:r w:rsidR="004B5838">
        <w:t>opioid overdose (appropriate therapeutic purpose)</w:t>
      </w:r>
      <w:r w:rsidR="00CF385D">
        <w:t xml:space="preserve"> and the client does not intend to use the medicine for any other purpose</w:t>
      </w:r>
      <w:r w:rsidR="002F0044">
        <w:t xml:space="preserve">; </w:t>
      </w:r>
    </w:p>
    <w:p w:rsidR="00CF385D" w:rsidRDefault="00CF385D" w:rsidP="006826D3">
      <w:pPr>
        <w:pStyle w:val="ListParagraph"/>
        <w:numPr>
          <w:ilvl w:val="0"/>
          <w:numId w:val="13"/>
        </w:numPr>
        <w:contextualSpacing w:val="0"/>
      </w:pPr>
      <w:r>
        <w:t>the supplying staff member</w:t>
      </w:r>
      <w:r w:rsidRPr="00CF385D">
        <w:t xml:space="preserve"> </w:t>
      </w:r>
      <w:r w:rsidR="004B5838">
        <w:t>suppl</w:t>
      </w:r>
      <w:r w:rsidR="00B743FC">
        <w:t>ies</w:t>
      </w:r>
      <w:r>
        <w:t xml:space="preserve"> </w:t>
      </w:r>
      <w:r w:rsidR="004B5838">
        <w:t xml:space="preserve">a quantity </w:t>
      </w:r>
      <w:r w:rsidR="00B743FC">
        <w:t xml:space="preserve">(reasonable amount) </w:t>
      </w:r>
      <w:r>
        <w:t xml:space="preserve">that is suitable </w:t>
      </w:r>
      <w:r w:rsidR="004B5838">
        <w:t>for personal use</w:t>
      </w:r>
      <w:r w:rsidR="002F0044">
        <w:t>,</w:t>
      </w:r>
      <w:r w:rsidR="004B5838">
        <w:t xml:space="preserve"> </w:t>
      </w:r>
      <w:r>
        <w:t>by that client</w:t>
      </w:r>
      <w:r w:rsidR="002F0044">
        <w:t>,</w:t>
      </w:r>
      <w:r>
        <w:t xml:space="preserve"> </w:t>
      </w:r>
      <w:r w:rsidR="00CE2830">
        <w:t>for that purpose</w:t>
      </w:r>
      <w:r w:rsidR="002F0044">
        <w:t>; and</w:t>
      </w:r>
    </w:p>
    <w:p w:rsidR="00C25A1D" w:rsidRDefault="00CE2830" w:rsidP="006826D3">
      <w:pPr>
        <w:pStyle w:val="ListParagraph"/>
        <w:numPr>
          <w:ilvl w:val="0"/>
          <w:numId w:val="13"/>
        </w:numPr>
        <w:contextualSpacing w:val="0"/>
      </w:pPr>
      <w:r>
        <w:t xml:space="preserve">the client </w:t>
      </w:r>
      <w:r w:rsidR="00141F6F">
        <w:t xml:space="preserve">is </w:t>
      </w:r>
      <w:r w:rsidR="00CF385D">
        <w:t xml:space="preserve">properly </w:t>
      </w:r>
      <w:r>
        <w:t xml:space="preserve">educated on the safe and effective administration of the medicine, via verbal counselling </w:t>
      </w:r>
      <w:r w:rsidR="00CF385D">
        <w:t xml:space="preserve">according to </w:t>
      </w:r>
      <w:r w:rsidR="00C514BD">
        <w:t xml:space="preserve">standard </w:t>
      </w:r>
      <w:r w:rsidR="00CF385D">
        <w:t>procedure</w:t>
      </w:r>
      <w:r w:rsidR="00C514BD">
        <w:t>s</w:t>
      </w:r>
      <w:r w:rsidR="00CF385D">
        <w:t xml:space="preserve"> of the employing organisation, </w:t>
      </w:r>
      <w:r>
        <w:t xml:space="preserve">and </w:t>
      </w:r>
      <w:r w:rsidR="00C514BD">
        <w:t xml:space="preserve">by </w:t>
      </w:r>
      <w:r>
        <w:t>provision of hard copy training materials approved by the Mental Health Commission.</w:t>
      </w:r>
    </w:p>
    <w:p w:rsidR="00CE2830" w:rsidRPr="002713B4" w:rsidRDefault="006667C7" w:rsidP="0088202F">
      <w:pPr>
        <w:pStyle w:val="ListParagraph"/>
        <w:numPr>
          <w:ilvl w:val="0"/>
          <w:numId w:val="5"/>
        </w:numPr>
        <w:contextualSpacing w:val="0"/>
      </w:pPr>
      <w:r>
        <w:t>t</w:t>
      </w:r>
      <w:r w:rsidR="00CE2830">
        <w:t>he staff member c</w:t>
      </w:r>
      <w:r w:rsidR="00A36BFD" w:rsidRPr="00A36BFD">
        <w:t>ompl</w:t>
      </w:r>
      <w:r w:rsidR="00CE2830">
        <w:t>ies w</w:t>
      </w:r>
      <w:r w:rsidR="00A36BFD" w:rsidRPr="00A36BFD">
        <w:t xml:space="preserve">ith the </w:t>
      </w:r>
      <w:r w:rsidR="00B743FC" w:rsidRPr="002713B4">
        <w:rPr>
          <w:i/>
        </w:rPr>
        <w:t>WA Naloxone Projects 2018 – 202</w:t>
      </w:r>
      <w:r w:rsidR="002713B4" w:rsidRPr="002713B4">
        <w:rPr>
          <w:i/>
        </w:rPr>
        <w:t>1</w:t>
      </w:r>
      <w:r w:rsidR="00B743FC" w:rsidRPr="002713B4">
        <w:rPr>
          <w:i/>
        </w:rPr>
        <w:t xml:space="preserve">: </w:t>
      </w:r>
      <w:r w:rsidR="00A36BFD" w:rsidRPr="002713B4">
        <w:rPr>
          <w:i/>
        </w:rPr>
        <w:t>Guidelines for the Supply of Take-Home Naloxone to Clients</w:t>
      </w:r>
      <w:r w:rsidR="002F0044" w:rsidRPr="002713B4">
        <w:rPr>
          <w:i/>
        </w:rPr>
        <w:t>.</w:t>
      </w:r>
    </w:p>
    <w:p w:rsidR="00CF385D" w:rsidRPr="002713B4" w:rsidRDefault="006667C7" w:rsidP="0088202F">
      <w:pPr>
        <w:pStyle w:val="ListParagraph"/>
        <w:numPr>
          <w:ilvl w:val="0"/>
          <w:numId w:val="5"/>
        </w:numPr>
        <w:contextualSpacing w:val="0"/>
      </w:pPr>
      <w:r w:rsidRPr="002713B4">
        <w:t>t</w:t>
      </w:r>
      <w:r w:rsidR="00CE2830" w:rsidRPr="002713B4">
        <w:t xml:space="preserve">he medicines are </w:t>
      </w:r>
      <w:r w:rsidR="00CF385D" w:rsidRPr="002713B4">
        <w:rPr>
          <w:rFonts w:cs="Arial"/>
        </w:rPr>
        <w:t>procured, store</w:t>
      </w:r>
      <w:r w:rsidR="006826D3" w:rsidRPr="002713B4">
        <w:rPr>
          <w:rFonts w:cs="Arial"/>
        </w:rPr>
        <w:t>d</w:t>
      </w:r>
      <w:r w:rsidR="00CF385D" w:rsidRPr="002713B4">
        <w:rPr>
          <w:rFonts w:cs="Arial"/>
        </w:rPr>
        <w:t xml:space="preserve"> and supplied in accordance with </w:t>
      </w:r>
      <w:r w:rsidR="00CF385D" w:rsidRPr="002713B4">
        <w:t>Part 9 of the Medicines and Poisons Regulations 2016</w:t>
      </w:r>
      <w:r w:rsidR="006826D3" w:rsidRPr="002713B4">
        <w:t xml:space="preserve"> (the Regulations)</w:t>
      </w:r>
      <w:r w:rsidR="00CF385D" w:rsidRPr="002713B4">
        <w:t>:</w:t>
      </w:r>
    </w:p>
    <w:p w:rsidR="00740D64" w:rsidRPr="002713B4" w:rsidRDefault="006826D3" w:rsidP="00CF385D">
      <w:pPr>
        <w:pStyle w:val="ListParagraph"/>
        <w:numPr>
          <w:ilvl w:val="1"/>
          <w:numId w:val="5"/>
        </w:numPr>
        <w:contextualSpacing w:val="0"/>
      </w:pPr>
      <w:r w:rsidRPr="002713B4">
        <w:rPr>
          <w:rFonts w:cs="Arial"/>
        </w:rPr>
        <w:t>p</w:t>
      </w:r>
      <w:r w:rsidR="00CF385D" w:rsidRPr="002713B4">
        <w:rPr>
          <w:rFonts w:cs="Arial"/>
        </w:rPr>
        <w:t>rocurement is by</w:t>
      </w:r>
      <w:r w:rsidR="00CE2830" w:rsidRPr="002713B4">
        <w:rPr>
          <w:rFonts w:cs="Arial"/>
        </w:rPr>
        <w:t xml:space="preserve"> a Medicines and Poisons Permit </w:t>
      </w:r>
      <w:r w:rsidR="002F0044" w:rsidRPr="002713B4">
        <w:rPr>
          <w:rFonts w:cs="Arial"/>
        </w:rPr>
        <w:t>H</w:t>
      </w:r>
      <w:r w:rsidR="00CE2830" w:rsidRPr="002713B4">
        <w:rPr>
          <w:rFonts w:cs="Arial"/>
        </w:rPr>
        <w:t xml:space="preserve">older; </w:t>
      </w:r>
    </w:p>
    <w:p w:rsidR="00CF385D" w:rsidRPr="002713B4" w:rsidRDefault="00C514BD" w:rsidP="00CF385D">
      <w:pPr>
        <w:pStyle w:val="ListParagraph"/>
        <w:numPr>
          <w:ilvl w:val="1"/>
          <w:numId w:val="5"/>
        </w:numPr>
        <w:contextualSpacing w:val="0"/>
      </w:pPr>
      <w:r w:rsidRPr="002713B4">
        <w:t>all storage is s</w:t>
      </w:r>
      <w:r w:rsidR="00C27B16" w:rsidRPr="002713B4">
        <w:t>ecure</w:t>
      </w:r>
      <w:r w:rsidR="00B743FC" w:rsidRPr="002713B4">
        <w:t xml:space="preserve"> and </w:t>
      </w:r>
      <w:r w:rsidR="00C27B16" w:rsidRPr="002713B4">
        <w:t xml:space="preserve">out of public access, </w:t>
      </w:r>
      <w:r w:rsidRPr="002713B4">
        <w:t xml:space="preserve">within </w:t>
      </w:r>
      <w:r w:rsidR="00CF385D" w:rsidRPr="002713B4">
        <w:t>an approved Permit site</w:t>
      </w:r>
      <w:r w:rsidR="00C27B16" w:rsidRPr="002713B4">
        <w:t>,</w:t>
      </w:r>
      <w:r w:rsidR="006826D3" w:rsidRPr="002713B4">
        <w:t xml:space="preserve"> in accordance with a</w:t>
      </w:r>
      <w:r w:rsidRPr="002713B4">
        <w:t xml:space="preserve">ll relevant </w:t>
      </w:r>
      <w:r w:rsidR="006826D3" w:rsidRPr="002713B4">
        <w:t>Permit conditions</w:t>
      </w:r>
      <w:r w:rsidR="00CF385D" w:rsidRPr="002713B4">
        <w:t>;</w:t>
      </w:r>
      <w:r w:rsidR="002F0044" w:rsidRPr="002713B4">
        <w:t xml:space="preserve"> and</w:t>
      </w:r>
    </w:p>
    <w:p w:rsidR="00740D64" w:rsidRPr="002713B4" w:rsidRDefault="00CD1B6B" w:rsidP="00CF385D">
      <w:pPr>
        <w:pStyle w:val="ListParagraph"/>
        <w:numPr>
          <w:ilvl w:val="1"/>
          <w:numId w:val="5"/>
        </w:numPr>
        <w:contextualSpacing w:val="0"/>
      </w:pPr>
      <w:r w:rsidRPr="002713B4">
        <w:t xml:space="preserve">at all times, </w:t>
      </w:r>
      <w:r w:rsidR="006826D3" w:rsidRPr="002713B4">
        <w:t>m</w:t>
      </w:r>
      <w:r w:rsidR="0088202F" w:rsidRPr="002713B4">
        <w:t>edicines are</w:t>
      </w:r>
      <w:r w:rsidR="00C514BD" w:rsidRPr="002713B4">
        <w:t xml:space="preserve"> </w:t>
      </w:r>
      <w:r w:rsidR="0088202F" w:rsidRPr="002713B4">
        <w:t xml:space="preserve">labelled and packaged in accordance </w:t>
      </w:r>
      <w:r w:rsidR="006826D3" w:rsidRPr="002713B4">
        <w:t xml:space="preserve">with the </w:t>
      </w:r>
      <w:r w:rsidR="00CF385D" w:rsidRPr="002713B4">
        <w:t xml:space="preserve">SUSMP and </w:t>
      </w:r>
      <w:r w:rsidR="006826D3" w:rsidRPr="002713B4">
        <w:t>the Regulations</w:t>
      </w:r>
      <w:r w:rsidR="00CF385D" w:rsidRPr="002713B4">
        <w:t>.</w:t>
      </w:r>
      <w:r w:rsidR="0088202F" w:rsidRPr="002713B4">
        <w:t xml:space="preserve"> </w:t>
      </w:r>
    </w:p>
    <w:p w:rsidR="00C27B16" w:rsidRPr="002713B4" w:rsidRDefault="00C27B16" w:rsidP="00C27B16">
      <w:pPr>
        <w:pStyle w:val="ListParagraph"/>
        <w:ind w:left="1440"/>
        <w:contextualSpacing w:val="0"/>
      </w:pPr>
    </w:p>
    <w:p w:rsidR="001D7A08" w:rsidRPr="002713B4" w:rsidRDefault="001D7A08" w:rsidP="00C27B16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</w:rPr>
      </w:pPr>
      <w:r w:rsidRPr="002713B4">
        <w:rPr>
          <w:b/>
        </w:rPr>
        <w:t>References:</w:t>
      </w:r>
    </w:p>
    <w:p w:rsidR="00B708DC" w:rsidRPr="002713B4" w:rsidRDefault="0088202F" w:rsidP="00C27B16">
      <w:pPr>
        <w:numPr>
          <w:ilvl w:val="0"/>
          <w:numId w:val="1"/>
        </w:numPr>
        <w:ind w:left="641" w:right="261" w:hanging="357"/>
        <w:rPr>
          <w:b/>
        </w:rPr>
      </w:pPr>
      <w:r w:rsidRPr="002713B4">
        <w:rPr>
          <w:rStyle w:val="Bold"/>
          <w:b w:val="0"/>
        </w:rPr>
        <w:t xml:space="preserve">Mental Health Commission. </w:t>
      </w:r>
      <w:r w:rsidR="00DB7E9F" w:rsidRPr="002713B4">
        <w:rPr>
          <w:i/>
        </w:rPr>
        <w:t>WA Naloxone Projects 2018 – 202</w:t>
      </w:r>
      <w:r w:rsidR="002713B4" w:rsidRPr="002713B4">
        <w:rPr>
          <w:i/>
        </w:rPr>
        <w:t>1</w:t>
      </w:r>
      <w:r w:rsidR="000D54E7" w:rsidRPr="002713B4">
        <w:rPr>
          <w:i/>
        </w:rPr>
        <w:t>:</w:t>
      </w:r>
      <w:r w:rsidR="00DB7E9F" w:rsidRPr="002713B4">
        <w:rPr>
          <w:i/>
        </w:rPr>
        <w:t xml:space="preserve"> </w:t>
      </w:r>
      <w:bookmarkStart w:id="1" w:name="_Toc518386716"/>
      <w:bookmarkStart w:id="2" w:name="_Toc518393458"/>
      <w:bookmarkStart w:id="3" w:name="_Toc518905036"/>
      <w:bookmarkStart w:id="4" w:name="_Toc519505300"/>
      <w:bookmarkStart w:id="5" w:name="_Toc520709714"/>
      <w:r w:rsidR="00B708DC" w:rsidRPr="002713B4">
        <w:rPr>
          <w:i/>
        </w:rPr>
        <w:t>G</w:t>
      </w:r>
      <w:r w:rsidR="00DB7E9F" w:rsidRPr="002713B4">
        <w:rPr>
          <w:i/>
        </w:rPr>
        <w:t>uidelines for the supply of take-home naloxone to clients</w:t>
      </w:r>
      <w:bookmarkEnd w:id="1"/>
      <w:bookmarkEnd w:id="2"/>
      <w:bookmarkEnd w:id="3"/>
      <w:bookmarkEnd w:id="4"/>
      <w:bookmarkEnd w:id="5"/>
      <w:r w:rsidR="00DB7E9F" w:rsidRPr="002713B4">
        <w:rPr>
          <w:i/>
        </w:rPr>
        <w:t>.</w:t>
      </w:r>
    </w:p>
    <w:p w:rsidR="00C27B16" w:rsidRPr="00C27B16" w:rsidRDefault="00C27B16" w:rsidP="00C27B16">
      <w:pPr>
        <w:ind w:left="641" w:right="261"/>
        <w:rPr>
          <w:b/>
        </w:rPr>
      </w:pPr>
    </w:p>
    <w:p w:rsidR="0055225A" w:rsidRPr="004A6D3B" w:rsidRDefault="0055225A" w:rsidP="00C27B16">
      <w:pPr>
        <w:pStyle w:val="ListParagraph"/>
        <w:keepLines/>
        <w:numPr>
          <w:ilvl w:val="0"/>
          <w:numId w:val="2"/>
        </w:numPr>
        <w:ind w:right="261"/>
        <w:contextualSpacing w:val="0"/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W w:w="94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274"/>
      </w:tblGrid>
      <w:tr w:rsidR="0055225A" w:rsidRPr="006F6EB5" w:rsidTr="00DD7E25">
        <w:tc>
          <w:tcPr>
            <w:tcW w:w="2126" w:type="dxa"/>
            <w:tcBorders>
              <w:right w:val="nil"/>
            </w:tcBorders>
            <w:shd w:val="clear" w:color="auto" w:fill="auto"/>
          </w:tcPr>
          <w:p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7274" w:type="dxa"/>
            <w:tcBorders>
              <w:left w:val="nil"/>
            </w:tcBorders>
            <w:shd w:val="clear" w:color="auto" w:fill="auto"/>
          </w:tcPr>
          <w:p w:rsidR="0055225A" w:rsidRPr="00AC0445" w:rsidRDefault="002C664F" w:rsidP="00C9188D">
            <w:pPr>
              <w:keepLines/>
              <w:ind w:right="261"/>
              <w:rPr>
                <w:rFonts w:cs="Arial"/>
                <w:color w:val="000000"/>
              </w:rPr>
            </w:pPr>
            <w:r w:rsidRPr="00AC0445">
              <w:rPr>
                <w:rFonts w:cs="Arial"/>
                <w:color w:val="000000"/>
              </w:rPr>
              <w:t xml:space="preserve">Dr Andrew </w:t>
            </w:r>
            <w:r w:rsidR="00163673" w:rsidRPr="00AC0445">
              <w:rPr>
                <w:rFonts w:cs="Arial"/>
                <w:color w:val="000000"/>
              </w:rPr>
              <w:t xml:space="preserve"> </w:t>
            </w:r>
            <w:r w:rsidR="00AC0445" w:rsidRPr="00AC0445">
              <w:rPr>
                <w:rFonts w:cs="Arial"/>
                <w:color w:val="000000"/>
              </w:rPr>
              <w:t>Robertson</w:t>
            </w:r>
            <w:r w:rsidRPr="00AC0445">
              <w:rPr>
                <w:rFonts w:cs="Arial"/>
                <w:color w:val="000000"/>
              </w:rPr>
              <w:t xml:space="preserve"> </w:t>
            </w:r>
          </w:p>
        </w:tc>
      </w:tr>
      <w:tr w:rsidR="0055225A" w:rsidRPr="006F6EB5" w:rsidTr="00DD7E25">
        <w:tc>
          <w:tcPr>
            <w:tcW w:w="2126" w:type="dxa"/>
            <w:tcBorders>
              <w:right w:val="nil"/>
            </w:tcBorders>
            <w:shd w:val="clear" w:color="auto" w:fill="auto"/>
          </w:tcPr>
          <w:p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7274" w:type="dxa"/>
            <w:tcBorders>
              <w:left w:val="nil"/>
            </w:tcBorders>
            <w:shd w:val="clear" w:color="auto" w:fill="auto"/>
          </w:tcPr>
          <w:p w:rsidR="0055225A" w:rsidRPr="00AC0445" w:rsidRDefault="00C9188D" w:rsidP="00C9188D">
            <w:pPr>
              <w:keepLines/>
              <w:ind w:right="261"/>
              <w:rPr>
                <w:rFonts w:cs="Arial"/>
                <w:color w:val="000000"/>
              </w:rPr>
            </w:pPr>
            <w:r w:rsidRPr="00AC0445">
              <w:rPr>
                <w:rFonts w:cs="Arial"/>
                <w:color w:val="000000"/>
              </w:rPr>
              <w:t>Chief Health Officer</w:t>
            </w:r>
          </w:p>
        </w:tc>
      </w:tr>
      <w:tr w:rsidR="0055225A" w:rsidRPr="006F6EB5" w:rsidTr="00DD7E25">
        <w:tc>
          <w:tcPr>
            <w:tcW w:w="2126" w:type="dxa"/>
            <w:tcBorders>
              <w:right w:val="nil"/>
            </w:tcBorders>
            <w:shd w:val="clear" w:color="auto" w:fill="auto"/>
          </w:tcPr>
          <w:p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7274" w:type="dxa"/>
            <w:tcBorders>
              <w:left w:val="nil"/>
            </w:tcBorders>
            <w:shd w:val="clear" w:color="auto" w:fill="auto"/>
          </w:tcPr>
          <w:p w:rsidR="0055225A" w:rsidRPr="009F0EE8" w:rsidRDefault="00E56899" w:rsidP="009148D3">
            <w:pPr>
              <w:keepLines/>
              <w:ind w:right="261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</w:rPr>
              <w:t>5 May</w:t>
            </w:r>
            <w:r w:rsidR="009148D3">
              <w:rPr>
                <w:rFonts w:cs="Arial"/>
                <w:color w:val="000000"/>
              </w:rPr>
              <w:t xml:space="preserve"> 2020</w:t>
            </w:r>
          </w:p>
        </w:tc>
      </w:tr>
    </w:tbl>
    <w:p w:rsidR="00C514BD" w:rsidRDefault="00C514BD"/>
    <w:p w:rsidR="002F0044" w:rsidRDefault="002F0044"/>
    <w:tbl>
      <w:tblPr>
        <w:tblW w:w="9526" w:type="dxa"/>
        <w:tblInd w:w="250" w:type="dxa"/>
        <w:tblLook w:val="0000" w:firstRow="0" w:lastRow="0" w:firstColumn="0" w:lastColumn="0" w:noHBand="0" w:noVBand="0"/>
      </w:tblPr>
      <w:tblGrid>
        <w:gridCol w:w="1843"/>
        <w:gridCol w:w="4820"/>
        <w:gridCol w:w="1276"/>
        <w:gridCol w:w="1587"/>
      </w:tblGrid>
      <w:tr w:rsidR="0055225A" w:rsidRPr="006F6EB5" w:rsidTr="00C27B16">
        <w:trPr>
          <w:trHeight w:val="166"/>
        </w:trPr>
        <w:tc>
          <w:tcPr>
            <w:tcW w:w="1843" w:type="dxa"/>
            <w:tcBorders>
              <w:top w:val="single" w:sz="4" w:space="0" w:color="auto"/>
            </w:tcBorders>
          </w:tcPr>
          <w:p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Number: 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55225A" w:rsidRPr="006F6EB5" w:rsidRDefault="00F5031D" w:rsidP="008C4039">
            <w:pPr>
              <w:rPr>
                <w:szCs w:val="24"/>
              </w:rPr>
            </w:pPr>
            <w:r w:rsidRPr="006F6EB5">
              <w:rPr>
                <w:szCs w:val="24"/>
              </w:rPr>
              <w:t>0</w:t>
            </w:r>
            <w:r w:rsidR="00163673">
              <w:rPr>
                <w:szCs w:val="24"/>
              </w:rPr>
              <w:t>1</w:t>
            </w:r>
            <w:r w:rsidR="00DD7E25">
              <w:rPr>
                <w:szCs w:val="24"/>
              </w:rPr>
              <w:t>5/</w:t>
            </w:r>
            <w:r w:rsidR="008C4039">
              <w:rPr>
                <w:szCs w:val="24"/>
              </w:rPr>
              <w:t>2</w:t>
            </w:r>
            <w:r w:rsidR="00DD7E25">
              <w:rPr>
                <w:szCs w:val="24"/>
              </w:rPr>
              <w:t>-20</w:t>
            </w:r>
            <w:r w:rsidR="008C4039">
              <w:rPr>
                <w:szCs w:val="24"/>
              </w:rPr>
              <w:t>20</w:t>
            </w:r>
          </w:p>
        </w:tc>
      </w:tr>
      <w:tr w:rsidR="0055225A" w:rsidRPr="006F6EB5" w:rsidTr="00C27B16">
        <w:trPr>
          <w:trHeight w:val="166"/>
        </w:trPr>
        <w:tc>
          <w:tcPr>
            <w:tcW w:w="1843" w:type="dxa"/>
            <w:tcBorders>
              <w:bottom w:val="single" w:sz="4" w:space="0" w:color="auto"/>
            </w:tcBorders>
          </w:tcPr>
          <w:p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5225A" w:rsidRPr="006F6EB5" w:rsidRDefault="007668A9" w:rsidP="007668A9">
            <w:pPr>
              <w:rPr>
                <w:szCs w:val="24"/>
              </w:rPr>
            </w:pPr>
            <w:r>
              <w:rPr>
                <w:szCs w:val="24"/>
              </w:rPr>
              <w:t>MPRB@</w:t>
            </w:r>
            <w:r w:rsidR="0055225A" w:rsidRPr="006F6EB5">
              <w:rPr>
                <w:szCs w:val="24"/>
              </w:rPr>
              <w:t>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Date: 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5225A" w:rsidRPr="006F6EB5" w:rsidRDefault="00E56899" w:rsidP="008C4039">
            <w:pPr>
              <w:rPr>
                <w:szCs w:val="24"/>
              </w:rPr>
            </w:pPr>
            <w:r>
              <w:rPr>
                <w:szCs w:val="24"/>
              </w:rPr>
              <w:t>05/05/2020</w:t>
            </w:r>
          </w:p>
        </w:tc>
      </w:tr>
    </w:tbl>
    <w:p w:rsidR="001427F7" w:rsidRDefault="001427F7" w:rsidP="008129CA">
      <w:pPr>
        <w:keepLines/>
        <w:jc w:val="center"/>
        <w:rPr>
          <w:rFonts w:cs="Arial"/>
          <w:b/>
        </w:rPr>
      </w:pPr>
    </w:p>
    <w:p w:rsidR="00801C9C" w:rsidRPr="00E56899" w:rsidRDefault="00801C9C" w:rsidP="00E56899">
      <w:pPr>
        <w:spacing w:after="0"/>
        <w:rPr>
          <w:rFonts w:cs="Arial"/>
          <w:b/>
        </w:rPr>
      </w:pPr>
    </w:p>
    <w:sectPr w:rsidR="00801C9C" w:rsidRPr="00E56899" w:rsidSect="005071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B" w:rsidRDefault="00EF700B" w:rsidP="0043154B">
      <w:pPr>
        <w:spacing w:after="0"/>
      </w:pPr>
      <w:r>
        <w:separator/>
      </w:r>
    </w:p>
  </w:endnote>
  <w:endnote w:type="continuationSeparator" w:id="0">
    <w:p w:rsidR="00EF700B" w:rsidRDefault="00EF700B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19E" w:rsidRDefault="00E921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4B" w:rsidRDefault="000B7740" w:rsidP="006F6EB5">
    <w:pPr>
      <w:pStyle w:val="Footer"/>
      <w:tabs>
        <w:tab w:val="clear" w:pos="4513"/>
        <w:tab w:val="clear" w:pos="9026"/>
        <w:tab w:val="center" w:pos="4808"/>
      </w:tabs>
      <w:jc w:val="center"/>
    </w:pPr>
    <w:r>
      <w:rPr>
        <w:b/>
      </w:rPr>
      <w:t>SASA 0</w:t>
    </w:r>
    <w:r w:rsidR="00163673">
      <w:rPr>
        <w:b/>
      </w:rPr>
      <w:t>1</w:t>
    </w:r>
    <w:r w:rsidR="00507FAB">
      <w:rPr>
        <w:b/>
      </w:rPr>
      <w:t>5/</w:t>
    </w:r>
    <w:r w:rsidR="008C4039">
      <w:rPr>
        <w:b/>
      </w:rPr>
      <w:t>2</w:t>
    </w:r>
    <w:r>
      <w:rPr>
        <w:b/>
      </w:rPr>
      <w:t>-20</w:t>
    </w:r>
    <w:r w:rsidR="008C4039">
      <w:rPr>
        <w:b/>
      </w:rPr>
      <w:t>20</w:t>
    </w:r>
    <w:r w:rsidR="006F6EB5" w:rsidRPr="0043154B">
      <w:tab/>
    </w:r>
    <w:r w:rsidRPr="00740D64">
      <w:t>Effective</w:t>
    </w:r>
    <w:r w:rsidRPr="00740D64">
      <w:rPr>
        <w:b/>
      </w:rPr>
      <w:t xml:space="preserve"> </w:t>
    </w:r>
    <w:r w:rsidRPr="00740D64">
      <w:t xml:space="preserve">from: </w:t>
    </w:r>
    <w:r w:rsidR="007668A9" w:rsidRPr="00740D64">
      <w:rPr>
        <w:b/>
      </w:rPr>
      <w:t xml:space="preserve"> </w:t>
    </w:r>
    <w:r w:rsidR="00E56899">
      <w:rPr>
        <w:b/>
      </w:rPr>
      <w:t>5 May 2020</w:t>
    </w:r>
    <w:r>
      <w:rPr>
        <w:b/>
      </w:rPr>
      <w:tab/>
    </w:r>
    <w:r w:rsidR="009A212A"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A070D4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A070D4">
      <w:rPr>
        <w:b/>
        <w:bCs/>
        <w:noProof/>
      </w:rPr>
      <w:t>2</w:t>
    </w:r>
    <w:r>
      <w:rPr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05" w:rsidRDefault="00507105" w:rsidP="006F6EB5">
    <w:pPr>
      <w:pStyle w:val="Footer"/>
      <w:tabs>
        <w:tab w:val="clear" w:pos="4513"/>
        <w:tab w:val="clear" w:pos="9026"/>
        <w:tab w:val="center" w:pos="4808"/>
      </w:tabs>
      <w:jc w:val="center"/>
    </w:pPr>
    <w:r w:rsidRPr="00D52D4A">
      <w:rPr>
        <w:b/>
      </w:rPr>
      <w:t>SASA 0</w:t>
    </w:r>
    <w:r w:rsidR="00D52D4A" w:rsidRPr="00D52D4A">
      <w:rPr>
        <w:b/>
      </w:rPr>
      <w:t>15</w:t>
    </w:r>
    <w:r w:rsidR="00507FAB">
      <w:rPr>
        <w:b/>
      </w:rPr>
      <w:t>/</w:t>
    </w:r>
    <w:r w:rsidR="00C02B11">
      <w:rPr>
        <w:b/>
      </w:rPr>
      <w:t>2</w:t>
    </w:r>
    <w:r w:rsidR="00D52D4A" w:rsidRPr="00D52D4A">
      <w:rPr>
        <w:b/>
      </w:rPr>
      <w:t>-20</w:t>
    </w:r>
    <w:r w:rsidR="00C02B11">
      <w:rPr>
        <w:b/>
      </w:rPr>
      <w:t>20</w:t>
    </w:r>
    <w:r w:rsidR="006F6EB5" w:rsidRPr="00636820">
      <w:tab/>
    </w:r>
    <w:r w:rsidRPr="00636820">
      <w:t>Effective</w:t>
    </w:r>
    <w:r w:rsidRPr="00636820">
      <w:rPr>
        <w:b/>
      </w:rPr>
      <w:t xml:space="preserve"> </w:t>
    </w:r>
    <w:r w:rsidRPr="00636820">
      <w:t xml:space="preserve">from: </w:t>
    </w:r>
    <w:r w:rsidR="00AC0445" w:rsidRPr="00636820">
      <w:t xml:space="preserve"> </w:t>
    </w:r>
    <w:r w:rsidR="00C02B11" w:rsidRPr="00C02B11">
      <w:rPr>
        <w:b/>
      </w:rPr>
      <w:t>29 April 2020</w:t>
    </w:r>
    <w:r w:rsidR="00C02B11">
      <w:t xml:space="preserve"> </w:t>
    </w:r>
    <w:r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A070D4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A070D4">
      <w:rPr>
        <w:b/>
        <w:bCs/>
        <w:noProof/>
      </w:rPr>
      <w:t>1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B" w:rsidRDefault="00EF700B" w:rsidP="0043154B">
      <w:pPr>
        <w:spacing w:after="0"/>
      </w:pPr>
      <w:r>
        <w:separator/>
      </w:r>
    </w:p>
  </w:footnote>
  <w:footnote w:type="continuationSeparator" w:id="0">
    <w:p w:rsidR="00EF700B" w:rsidRDefault="00EF700B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19E" w:rsidRDefault="00E921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19E" w:rsidRDefault="00E921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05" w:rsidRDefault="00DC62F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4CF3B7B" wp14:editId="1D298699">
          <wp:simplePos x="0" y="0"/>
          <wp:positionH relativeFrom="column">
            <wp:posOffset>-371475</wp:posOffset>
          </wp:positionH>
          <wp:positionV relativeFrom="paragraph">
            <wp:posOffset>-259080</wp:posOffset>
          </wp:positionV>
          <wp:extent cx="2955925" cy="533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ublic-and-aboriginal-health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2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C20"/>
    <w:multiLevelType w:val="hybridMultilevel"/>
    <w:tmpl w:val="8D36C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406D8"/>
    <w:multiLevelType w:val="hybridMultilevel"/>
    <w:tmpl w:val="5782A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33D19"/>
    <w:multiLevelType w:val="hybridMultilevel"/>
    <w:tmpl w:val="49243D1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B4598"/>
    <w:multiLevelType w:val="hybridMultilevel"/>
    <w:tmpl w:val="3DD0E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82CBE"/>
    <w:multiLevelType w:val="hybridMultilevel"/>
    <w:tmpl w:val="58F655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7D1316"/>
    <w:multiLevelType w:val="hybridMultilevel"/>
    <w:tmpl w:val="B2C6C1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C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454" w:hanging="180"/>
      </w:pPr>
    </w:lvl>
    <w:lvl w:ilvl="3" w:tplc="0C09000F" w:tentative="1">
      <w:start w:val="1"/>
      <w:numFmt w:val="decimal"/>
      <w:lvlText w:val="%4."/>
      <w:lvlJc w:val="left"/>
      <w:pPr>
        <w:ind w:left="3174" w:hanging="360"/>
      </w:pPr>
    </w:lvl>
    <w:lvl w:ilvl="4" w:tplc="0C090019" w:tentative="1">
      <w:start w:val="1"/>
      <w:numFmt w:val="lowerLetter"/>
      <w:lvlText w:val="%5."/>
      <w:lvlJc w:val="left"/>
      <w:pPr>
        <w:ind w:left="3894" w:hanging="360"/>
      </w:pPr>
    </w:lvl>
    <w:lvl w:ilvl="5" w:tplc="0C09001B" w:tentative="1">
      <w:start w:val="1"/>
      <w:numFmt w:val="lowerRoman"/>
      <w:lvlText w:val="%6."/>
      <w:lvlJc w:val="right"/>
      <w:pPr>
        <w:ind w:left="4614" w:hanging="180"/>
      </w:pPr>
    </w:lvl>
    <w:lvl w:ilvl="6" w:tplc="0C09000F" w:tentative="1">
      <w:start w:val="1"/>
      <w:numFmt w:val="decimal"/>
      <w:lvlText w:val="%7."/>
      <w:lvlJc w:val="left"/>
      <w:pPr>
        <w:ind w:left="5334" w:hanging="360"/>
      </w:pPr>
    </w:lvl>
    <w:lvl w:ilvl="7" w:tplc="0C090019" w:tentative="1">
      <w:start w:val="1"/>
      <w:numFmt w:val="lowerLetter"/>
      <w:lvlText w:val="%8."/>
      <w:lvlJc w:val="left"/>
      <w:pPr>
        <w:ind w:left="6054" w:hanging="360"/>
      </w:pPr>
    </w:lvl>
    <w:lvl w:ilvl="8" w:tplc="0C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>
    <w:nsid w:val="41397C33"/>
    <w:multiLevelType w:val="hybridMultilevel"/>
    <w:tmpl w:val="7876A39A"/>
    <w:lvl w:ilvl="0" w:tplc="36C6D53A">
      <w:start w:val="1"/>
      <w:numFmt w:val="lowerLetter"/>
      <w:lvlText w:val="%1."/>
      <w:lvlJc w:val="left"/>
      <w:pPr>
        <w:ind w:left="786" w:hanging="360"/>
      </w:pPr>
      <w:rPr>
        <w:sz w:val="24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8">
    <w:nsid w:val="54836741"/>
    <w:multiLevelType w:val="hybridMultilevel"/>
    <w:tmpl w:val="D9006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163C1A"/>
    <w:multiLevelType w:val="hybridMultilevel"/>
    <w:tmpl w:val="BE9E2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3B7D45"/>
    <w:multiLevelType w:val="hybridMultilevel"/>
    <w:tmpl w:val="61EE70F2"/>
    <w:lvl w:ilvl="0" w:tplc="0C090011">
      <w:start w:val="1"/>
      <w:numFmt w:val="decimal"/>
      <w:lvlText w:val="%1)"/>
      <w:lvlJc w:val="left"/>
      <w:pPr>
        <w:ind w:left="6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0" w:hanging="360"/>
      </w:pPr>
    </w:lvl>
    <w:lvl w:ilvl="2" w:tplc="0C09001B" w:tentative="1">
      <w:start w:val="1"/>
      <w:numFmt w:val="lowerRoman"/>
      <w:lvlText w:val="%3."/>
      <w:lvlJc w:val="right"/>
      <w:pPr>
        <w:ind w:left="2050" w:hanging="180"/>
      </w:pPr>
    </w:lvl>
    <w:lvl w:ilvl="3" w:tplc="0C09000F" w:tentative="1">
      <w:start w:val="1"/>
      <w:numFmt w:val="decimal"/>
      <w:lvlText w:val="%4."/>
      <w:lvlJc w:val="left"/>
      <w:pPr>
        <w:ind w:left="2770" w:hanging="360"/>
      </w:pPr>
    </w:lvl>
    <w:lvl w:ilvl="4" w:tplc="0C090019" w:tentative="1">
      <w:start w:val="1"/>
      <w:numFmt w:val="lowerLetter"/>
      <w:lvlText w:val="%5."/>
      <w:lvlJc w:val="left"/>
      <w:pPr>
        <w:ind w:left="3490" w:hanging="360"/>
      </w:pPr>
    </w:lvl>
    <w:lvl w:ilvl="5" w:tplc="0C09001B" w:tentative="1">
      <w:start w:val="1"/>
      <w:numFmt w:val="lowerRoman"/>
      <w:lvlText w:val="%6."/>
      <w:lvlJc w:val="right"/>
      <w:pPr>
        <w:ind w:left="4210" w:hanging="180"/>
      </w:pPr>
    </w:lvl>
    <w:lvl w:ilvl="6" w:tplc="0C09000F" w:tentative="1">
      <w:start w:val="1"/>
      <w:numFmt w:val="decimal"/>
      <w:lvlText w:val="%7."/>
      <w:lvlJc w:val="left"/>
      <w:pPr>
        <w:ind w:left="4930" w:hanging="360"/>
      </w:pPr>
    </w:lvl>
    <w:lvl w:ilvl="7" w:tplc="0C090019" w:tentative="1">
      <w:start w:val="1"/>
      <w:numFmt w:val="lowerLetter"/>
      <w:lvlText w:val="%8."/>
      <w:lvlJc w:val="left"/>
      <w:pPr>
        <w:ind w:left="5650" w:hanging="360"/>
      </w:pPr>
    </w:lvl>
    <w:lvl w:ilvl="8" w:tplc="0C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1">
    <w:nsid w:val="6B2A06A1"/>
    <w:multiLevelType w:val="hybridMultilevel"/>
    <w:tmpl w:val="0E949AE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F1BFA"/>
    <w:multiLevelType w:val="hybridMultilevel"/>
    <w:tmpl w:val="645CA324"/>
    <w:lvl w:ilvl="0" w:tplc="1D0A4CF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734D2E12"/>
    <w:multiLevelType w:val="hybridMultilevel"/>
    <w:tmpl w:val="492C8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42DFF"/>
    <w:multiLevelType w:val="hybridMultilevel"/>
    <w:tmpl w:val="B8DA283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FD84CA4"/>
    <w:multiLevelType w:val="hybridMultilevel"/>
    <w:tmpl w:val="4A76DD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13"/>
  </w:num>
  <w:num w:numId="13">
    <w:abstractNumId w:val="5"/>
  </w:num>
  <w:num w:numId="14">
    <w:abstractNumId w:val="14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4B"/>
    <w:rsid w:val="00000D25"/>
    <w:rsid w:val="000113E7"/>
    <w:rsid w:val="00014A01"/>
    <w:rsid w:val="00032B5C"/>
    <w:rsid w:val="00046E1E"/>
    <w:rsid w:val="00071EBA"/>
    <w:rsid w:val="0007236B"/>
    <w:rsid w:val="000B7740"/>
    <w:rsid w:val="000C360C"/>
    <w:rsid w:val="000D54E7"/>
    <w:rsid w:val="000F7D12"/>
    <w:rsid w:val="00111A82"/>
    <w:rsid w:val="00116054"/>
    <w:rsid w:val="00141F6F"/>
    <w:rsid w:val="001427F7"/>
    <w:rsid w:val="001437E0"/>
    <w:rsid w:val="00153266"/>
    <w:rsid w:val="00163673"/>
    <w:rsid w:val="00171B7B"/>
    <w:rsid w:val="0019297F"/>
    <w:rsid w:val="001A0675"/>
    <w:rsid w:val="001A217B"/>
    <w:rsid w:val="001A395A"/>
    <w:rsid w:val="001C7D1F"/>
    <w:rsid w:val="001D7A08"/>
    <w:rsid w:val="001F6030"/>
    <w:rsid w:val="001F68E9"/>
    <w:rsid w:val="00220E8F"/>
    <w:rsid w:val="00230738"/>
    <w:rsid w:val="002372EF"/>
    <w:rsid w:val="002421A3"/>
    <w:rsid w:val="00263DD1"/>
    <w:rsid w:val="002713B4"/>
    <w:rsid w:val="002759FB"/>
    <w:rsid w:val="00290AAD"/>
    <w:rsid w:val="00292C64"/>
    <w:rsid w:val="002A09B7"/>
    <w:rsid w:val="002B3609"/>
    <w:rsid w:val="002B4932"/>
    <w:rsid w:val="002B6B54"/>
    <w:rsid w:val="002C658F"/>
    <w:rsid w:val="002C664F"/>
    <w:rsid w:val="002C7D7D"/>
    <w:rsid w:val="002D0C4C"/>
    <w:rsid w:val="002D1675"/>
    <w:rsid w:val="002E3A80"/>
    <w:rsid w:val="002F0044"/>
    <w:rsid w:val="003252DD"/>
    <w:rsid w:val="00355004"/>
    <w:rsid w:val="0038525D"/>
    <w:rsid w:val="003909D3"/>
    <w:rsid w:val="003929E7"/>
    <w:rsid w:val="00394483"/>
    <w:rsid w:val="003B2D0E"/>
    <w:rsid w:val="003B4208"/>
    <w:rsid w:val="003E772E"/>
    <w:rsid w:val="003E7FFE"/>
    <w:rsid w:val="00431175"/>
    <w:rsid w:val="0043154B"/>
    <w:rsid w:val="00436D52"/>
    <w:rsid w:val="0045639C"/>
    <w:rsid w:val="00460FA9"/>
    <w:rsid w:val="00466DB9"/>
    <w:rsid w:val="00470A44"/>
    <w:rsid w:val="00471692"/>
    <w:rsid w:val="0049665C"/>
    <w:rsid w:val="004A609E"/>
    <w:rsid w:val="004A6D3B"/>
    <w:rsid w:val="004B2E5A"/>
    <w:rsid w:val="004B5838"/>
    <w:rsid w:val="004C2780"/>
    <w:rsid w:val="004C397F"/>
    <w:rsid w:val="004C5128"/>
    <w:rsid w:val="004C6976"/>
    <w:rsid w:val="004C6AC4"/>
    <w:rsid w:val="004D5BD6"/>
    <w:rsid w:val="004F6A0D"/>
    <w:rsid w:val="004F7153"/>
    <w:rsid w:val="00505C87"/>
    <w:rsid w:val="00507105"/>
    <w:rsid w:val="00507FAB"/>
    <w:rsid w:val="0055225A"/>
    <w:rsid w:val="0056716B"/>
    <w:rsid w:val="0057123F"/>
    <w:rsid w:val="00581455"/>
    <w:rsid w:val="0059029E"/>
    <w:rsid w:val="005A409E"/>
    <w:rsid w:val="005A58F4"/>
    <w:rsid w:val="005B07BA"/>
    <w:rsid w:val="005B2D6F"/>
    <w:rsid w:val="005B6542"/>
    <w:rsid w:val="005C2721"/>
    <w:rsid w:val="005D1243"/>
    <w:rsid w:val="00622FEF"/>
    <w:rsid w:val="00626F9A"/>
    <w:rsid w:val="00630622"/>
    <w:rsid w:val="00631216"/>
    <w:rsid w:val="00636820"/>
    <w:rsid w:val="00641D26"/>
    <w:rsid w:val="00652997"/>
    <w:rsid w:val="00653AC3"/>
    <w:rsid w:val="00653D46"/>
    <w:rsid w:val="006643B6"/>
    <w:rsid w:val="006667C7"/>
    <w:rsid w:val="006826D3"/>
    <w:rsid w:val="006A16F4"/>
    <w:rsid w:val="006A7466"/>
    <w:rsid w:val="006D4760"/>
    <w:rsid w:val="006D481D"/>
    <w:rsid w:val="006F52D0"/>
    <w:rsid w:val="006F6EB5"/>
    <w:rsid w:val="00703943"/>
    <w:rsid w:val="00707DFB"/>
    <w:rsid w:val="00740D64"/>
    <w:rsid w:val="00751DD7"/>
    <w:rsid w:val="007668A9"/>
    <w:rsid w:val="0077027C"/>
    <w:rsid w:val="00776D8B"/>
    <w:rsid w:val="00776DCB"/>
    <w:rsid w:val="007961CF"/>
    <w:rsid w:val="007B3ABA"/>
    <w:rsid w:val="007C334E"/>
    <w:rsid w:val="007D793C"/>
    <w:rsid w:val="007E79B6"/>
    <w:rsid w:val="007F286E"/>
    <w:rsid w:val="007F5FD8"/>
    <w:rsid w:val="00801C9C"/>
    <w:rsid w:val="008129CA"/>
    <w:rsid w:val="0081340A"/>
    <w:rsid w:val="00815CF9"/>
    <w:rsid w:val="00852936"/>
    <w:rsid w:val="008611E6"/>
    <w:rsid w:val="0086473E"/>
    <w:rsid w:val="00874B2B"/>
    <w:rsid w:val="00875202"/>
    <w:rsid w:val="00881846"/>
    <w:rsid w:val="0088202F"/>
    <w:rsid w:val="0088745C"/>
    <w:rsid w:val="00894852"/>
    <w:rsid w:val="00897837"/>
    <w:rsid w:val="008A738F"/>
    <w:rsid w:val="008B75C6"/>
    <w:rsid w:val="008C4039"/>
    <w:rsid w:val="008C67B4"/>
    <w:rsid w:val="008E4E8A"/>
    <w:rsid w:val="008F2495"/>
    <w:rsid w:val="008F7FE4"/>
    <w:rsid w:val="009034F7"/>
    <w:rsid w:val="009065DB"/>
    <w:rsid w:val="0091214B"/>
    <w:rsid w:val="009148D3"/>
    <w:rsid w:val="009268DD"/>
    <w:rsid w:val="00930DF8"/>
    <w:rsid w:val="00944A69"/>
    <w:rsid w:val="00945219"/>
    <w:rsid w:val="00953B9C"/>
    <w:rsid w:val="00961B9B"/>
    <w:rsid w:val="009659AF"/>
    <w:rsid w:val="009668ED"/>
    <w:rsid w:val="00967D88"/>
    <w:rsid w:val="00973456"/>
    <w:rsid w:val="0097397A"/>
    <w:rsid w:val="00981DA1"/>
    <w:rsid w:val="00990D6C"/>
    <w:rsid w:val="0099531C"/>
    <w:rsid w:val="009A149E"/>
    <w:rsid w:val="009A212A"/>
    <w:rsid w:val="009F0EE8"/>
    <w:rsid w:val="00A070D4"/>
    <w:rsid w:val="00A36BFD"/>
    <w:rsid w:val="00A435AC"/>
    <w:rsid w:val="00A563BF"/>
    <w:rsid w:val="00A700F8"/>
    <w:rsid w:val="00A747A8"/>
    <w:rsid w:val="00A75A49"/>
    <w:rsid w:val="00A84B4B"/>
    <w:rsid w:val="00A84EA7"/>
    <w:rsid w:val="00A91C4C"/>
    <w:rsid w:val="00A93B21"/>
    <w:rsid w:val="00A944E6"/>
    <w:rsid w:val="00AA3B91"/>
    <w:rsid w:val="00AA47CC"/>
    <w:rsid w:val="00AC0445"/>
    <w:rsid w:val="00AD38CF"/>
    <w:rsid w:val="00AE2409"/>
    <w:rsid w:val="00AF383C"/>
    <w:rsid w:val="00B01FDB"/>
    <w:rsid w:val="00B3060C"/>
    <w:rsid w:val="00B708DC"/>
    <w:rsid w:val="00B743FC"/>
    <w:rsid w:val="00B96EB7"/>
    <w:rsid w:val="00BA215B"/>
    <w:rsid w:val="00BB48AB"/>
    <w:rsid w:val="00BB5682"/>
    <w:rsid w:val="00BC4932"/>
    <w:rsid w:val="00BD41EB"/>
    <w:rsid w:val="00BD72C6"/>
    <w:rsid w:val="00BE27ED"/>
    <w:rsid w:val="00BE38F6"/>
    <w:rsid w:val="00BE39BA"/>
    <w:rsid w:val="00BE3C2D"/>
    <w:rsid w:val="00BF4EAA"/>
    <w:rsid w:val="00C02B11"/>
    <w:rsid w:val="00C12CA6"/>
    <w:rsid w:val="00C1574B"/>
    <w:rsid w:val="00C25A1D"/>
    <w:rsid w:val="00C26511"/>
    <w:rsid w:val="00C27B16"/>
    <w:rsid w:val="00C509AF"/>
    <w:rsid w:val="00C514BD"/>
    <w:rsid w:val="00C53385"/>
    <w:rsid w:val="00C7143D"/>
    <w:rsid w:val="00C80464"/>
    <w:rsid w:val="00C87690"/>
    <w:rsid w:val="00C9188D"/>
    <w:rsid w:val="00CA6C0A"/>
    <w:rsid w:val="00CD1164"/>
    <w:rsid w:val="00CD1B6B"/>
    <w:rsid w:val="00CE2830"/>
    <w:rsid w:val="00CF0044"/>
    <w:rsid w:val="00CF385D"/>
    <w:rsid w:val="00CF64E2"/>
    <w:rsid w:val="00D00FC3"/>
    <w:rsid w:val="00D147D4"/>
    <w:rsid w:val="00D34BBF"/>
    <w:rsid w:val="00D40C4B"/>
    <w:rsid w:val="00D52D4A"/>
    <w:rsid w:val="00D535C3"/>
    <w:rsid w:val="00D53C7A"/>
    <w:rsid w:val="00D70219"/>
    <w:rsid w:val="00D714F7"/>
    <w:rsid w:val="00D770A7"/>
    <w:rsid w:val="00D85814"/>
    <w:rsid w:val="00D9301F"/>
    <w:rsid w:val="00DB5200"/>
    <w:rsid w:val="00DB7E9F"/>
    <w:rsid w:val="00DC62F0"/>
    <w:rsid w:val="00DD4F8E"/>
    <w:rsid w:val="00DD7E25"/>
    <w:rsid w:val="00DE4BFE"/>
    <w:rsid w:val="00DF12CA"/>
    <w:rsid w:val="00E0447F"/>
    <w:rsid w:val="00E12661"/>
    <w:rsid w:val="00E14FC0"/>
    <w:rsid w:val="00E22BD2"/>
    <w:rsid w:val="00E35B24"/>
    <w:rsid w:val="00E40563"/>
    <w:rsid w:val="00E47483"/>
    <w:rsid w:val="00E547E0"/>
    <w:rsid w:val="00E56899"/>
    <w:rsid w:val="00E65C14"/>
    <w:rsid w:val="00E666AB"/>
    <w:rsid w:val="00E72B47"/>
    <w:rsid w:val="00E9032E"/>
    <w:rsid w:val="00E9219E"/>
    <w:rsid w:val="00EA584C"/>
    <w:rsid w:val="00EB55D9"/>
    <w:rsid w:val="00EF230F"/>
    <w:rsid w:val="00EF4785"/>
    <w:rsid w:val="00EF700B"/>
    <w:rsid w:val="00F1529B"/>
    <w:rsid w:val="00F152F6"/>
    <w:rsid w:val="00F279E4"/>
    <w:rsid w:val="00F414EC"/>
    <w:rsid w:val="00F5031D"/>
    <w:rsid w:val="00F64E00"/>
    <w:rsid w:val="00F662D0"/>
    <w:rsid w:val="00F71E5E"/>
    <w:rsid w:val="00F80336"/>
    <w:rsid w:val="00F8224A"/>
    <w:rsid w:val="00F83080"/>
    <w:rsid w:val="00F8327C"/>
    <w:rsid w:val="00F83623"/>
    <w:rsid w:val="00F8708D"/>
    <w:rsid w:val="00FB045B"/>
    <w:rsid w:val="00FB428E"/>
    <w:rsid w:val="00FD77F8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="Times New Roman"/>
      <w:b/>
      <w:bCs/>
      <w:color w:val="5C8727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5C872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/>
      <w:sz w:val="32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link w:val="Heading1"/>
    <w:uiPriority w:val="9"/>
    <w:rsid w:val="00171B7B"/>
    <w:rPr>
      <w:rFonts w:ascii="Arial" w:eastAsia="Times New Roman" w:hAnsi="Arial" w:cs="Times New Roman"/>
      <w:b/>
      <w:bCs/>
      <w:color w:val="5C8727"/>
      <w:sz w:val="40"/>
      <w:szCs w:val="28"/>
    </w:rPr>
  </w:style>
  <w:style w:type="character" w:customStyle="1" w:styleId="Heading2Char">
    <w:name w:val="Heading 2 Char"/>
    <w:link w:val="Heading2"/>
    <w:uiPriority w:val="9"/>
    <w:rsid w:val="00171B7B"/>
    <w:rPr>
      <w:rFonts w:ascii="Arial" w:eastAsia="Times New Roman" w:hAnsi="Arial" w:cs="Times New Roman"/>
      <w:b/>
      <w:bCs/>
      <w:color w:val="5C8727"/>
      <w:sz w:val="28"/>
      <w:szCs w:val="26"/>
    </w:rPr>
  </w:style>
  <w:style w:type="character" w:customStyle="1" w:styleId="Heading3Char">
    <w:name w:val="Heading 3 Char"/>
    <w:link w:val="Heading3"/>
    <w:uiPriority w:val="9"/>
    <w:rsid w:val="00171B7B"/>
    <w:rPr>
      <w:rFonts w:ascii="Arial" w:eastAsia="Times New Roman" w:hAnsi="Arial" w:cs="Times New Roman"/>
      <w:b/>
      <w:bCs/>
      <w:color w:val="757477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="Cambria" w:hAnsi="Cambria"/>
      <w:color w:val="44641D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44641D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  <w:insideH w:val="single" w:sz="8" w:space="0" w:color="5C8727"/>
        <w:insideV w:val="single" w:sz="8" w:space="0" w:color="5C872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D7ECBE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CED9B4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87C63B"/>
        <w:left w:val="single" w:sz="8" w:space="0" w:color="87C63B"/>
        <w:bottom w:val="single" w:sz="8" w:space="0" w:color="87C63B"/>
        <w:right w:val="single" w:sz="8" w:space="0" w:color="87C63B"/>
        <w:insideH w:val="single" w:sz="8" w:space="0" w:color="87C63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D7ECBE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CED9B4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uiPriority w:val="20"/>
    <w:qFormat/>
    <w:rsid w:val="00815CF9"/>
    <w:rPr>
      <w:i/>
      <w:iCs/>
    </w:rPr>
  </w:style>
  <w:style w:type="character" w:styleId="Strong">
    <w:name w:val="Strong"/>
    <w:uiPriority w:val="22"/>
    <w:qFormat/>
    <w:rsid w:val="00815CF9"/>
    <w:rPr>
      <w:b/>
      <w:bCs/>
    </w:rPr>
  </w:style>
  <w:style w:type="character" w:styleId="CommentReference">
    <w:name w:val="annotation reference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uiPriority w:val="99"/>
    <w:semiHidden/>
    <w:rsid w:val="000C360C"/>
    <w:rPr>
      <w:color w:val="6E298D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py">
    <w:name w:val="Copy"/>
    <w:basedOn w:val="Normal"/>
    <w:rsid w:val="00FB428E"/>
    <w:pPr>
      <w:spacing w:after="120" w:line="300" w:lineRule="exact"/>
    </w:pPr>
    <w:rPr>
      <w:rFonts w:cs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1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164"/>
    <w:rPr>
      <w:rFonts w:ascii="Arial" w:hAnsi="Arial"/>
      <w:b/>
      <w:bCs/>
      <w:sz w:val="20"/>
      <w:szCs w:val="20"/>
      <w:lang w:eastAsia="en-US"/>
    </w:rPr>
  </w:style>
  <w:style w:type="paragraph" w:customStyle="1" w:styleId="Default">
    <w:name w:val="Default"/>
    <w:rsid w:val="00BE38F6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944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E56899"/>
    <w:rPr>
      <w:rFonts w:ascii="Arial" w:hAnsi="Arial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="Times New Roman"/>
      <w:b/>
      <w:bCs/>
      <w:color w:val="5C8727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5C872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/>
      <w:sz w:val="32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link w:val="Heading1"/>
    <w:uiPriority w:val="9"/>
    <w:rsid w:val="00171B7B"/>
    <w:rPr>
      <w:rFonts w:ascii="Arial" w:eastAsia="Times New Roman" w:hAnsi="Arial" w:cs="Times New Roman"/>
      <w:b/>
      <w:bCs/>
      <w:color w:val="5C8727"/>
      <w:sz w:val="40"/>
      <w:szCs w:val="28"/>
    </w:rPr>
  </w:style>
  <w:style w:type="character" w:customStyle="1" w:styleId="Heading2Char">
    <w:name w:val="Heading 2 Char"/>
    <w:link w:val="Heading2"/>
    <w:uiPriority w:val="9"/>
    <w:rsid w:val="00171B7B"/>
    <w:rPr>
      <w:rFonts w:ascii="Arial" w:eastAsia="Times New Roman" w:hAnsi="Arial" w:cs="Times New Roman"/>
      <w:b/>
      <w:bCs/>
      <w:color w:val="5C8727"/>
      <w:sz w:val="28"/>
      <w:szCs w:val="26"/>
    </w:rPr>
  </w:style>
  <w:style w:type="character" w:customStyle="1" w:styleId="Heading3Char">
    <w:name w:val="Heading 3 Char"/>
    <w:link w:val="Heading3"/>
    <w:uiPriority w:val="9"/>
    <w:rsid w:val="00171B7B"/>
    <w:rPr>
      <w:rFonts w:ascii="Arial" w:eastAsia="Times New Roman" w:hAnsi="Arial" w:cs="Times New Roman"/>
      <w:b/>
      <w:bCs/>
      <w:color w:val="757477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="Cambria" w:hAnsi="Cambria"/>
      <w:color w:val="44641D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44641D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  <w:insideH w:val="single" w:sz="8" w:space="0" w:color="5C8727"/>
        <w:insideV w:val="single" w:sz="8" w:space="0" w:color="5C872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D7ECBE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CED9B4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87C63B"/>
        <w:left w:val="single" w:sz="8" w:space="0" w:color="87C63B"/>
        <w:bottom w:val="single" w:sz="8" w:space="0" w:color="87C63B"/>
        <w:right w:val="single" w:sz="8" w:space="0" w:color="87C63B"/>
        <w:insideH w:val="single" w:sz="8" w:space="0" w:color="87C63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D7ECBE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CED9B4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uiPriority w:val="20"/>
    <w:qFormat/>
    <w:rsid w:val="00815CF9"/>
    <w:rPr>
      <w:i/>
      <w:iCs/>
    </w:rPr>
  </w:style>
  <w:style w:type="character" w:styleId="Strong">
    <w:name w:val="Strong"/>
    <w:uiPriority w:val="22"/>
    <w:qFormat/>
    <w:rsid w:val="00815CF9"/>
    <w:rPr>
      <w:b/>
      <w:bCs/>
    </w:rPr>
  </w:style>
  <w:style w:type="character" w:styleId="CommentReference">
    <w:name w:val="annotation reference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uiPriority w:val="99"/>
    <w:semiHidden/>
    <w:rsid w:val="000C360C"/>
    <w:rPr>
      <w:color w:val="6E298D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py">
    <w:name w:val="Copy"/>
    <w:basedOn w:val="Normal"/>
    <w:rsid w:val="00FB428E"/>
    <w:pPr>
      <w:spacing w:after="120" w:line="300" w:lineRule="exact"/>
    </w:pPr>
    <w:rPr>
      <w:rFonts w:cs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1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164"/>
    <w:rPr>
      <w:rFonts w:ascii="Arial" w:hAnsi="Arial"/>
      <w:b/>
      <w:bCs/>
      <w:sz w:val="20"/>
      <w:szCs w:val="20"/>
      <w:lang w:eastAsia="en-US"/>
    </w:rPr>
  </w:style>
  <w:style w:type="paragraph" w:customStyle="1" w:styleId="Default">
    <w:name w:val="Default"/>
    <w:rsid w:val="00BE38F6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944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E56899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AF04-7AFC-4AB3-BC9D-8E6411F0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4</DocSecurity>
  <Lines>21</Lines>
  <Paragraphs>6</Paragraphs>
  <ScaleCrop>false</ScaleCrop>
  <LinksUpToDate>false</LinksUpToDate>
  <CharactersWithSpaces>3027</CharactersWithSpaces>
  <SharedDoc>false</SharedDoc>
  <HLinks>
    <vt:vector size="36" baseType="variant">
      <vt:variant>
        <vt:i4>7077977</vt:i4>
      </vt:variant>
      <vt:variant>
        <vt:i4>15</vt:i4>
      </vt:variant>
      <vt:variant>
        <vt:i4>0</vt:i4>
      </vt:variant>
      <vt:variant>
        <vt:i4>5</vt:i4>
      </vt:variant>
      <vt:variant>
        <vt:lpwstr>http://www.health.wa.gov.au/circularsnew/circular.cfm?Circ_ID=12891</vt:lpwstr>
      </vt:variant>
      <vt:variant>
        <vt:lpwstr/>
      </vt:variant>
      <vt:variant>
        <vt:i4>262183</vt:i4>
      </vt:variant>
      <vt:variant>
        <vt:i4>12</vt:i4>
      </vt:variant>
      <vt:variant>
        <vt:i4>0</vt:i4>
      </vt:variant>
      <vt:variant>
        <vt:i4>5</vt:i4>
      </vt:variant>
      <vt:variant>
        <vt:lpwstr>http://ww2.health.wa.gov.au/Articles/F_I/Immunisation-schedule-and-catch-up-immunisations</vt:lpwstr>
      </vt:variant>
      <vt:variant>
        <vt:lpwstr/>
      </vt:variant>
      <vt:variant>
        <vt:i4>1179735</vt:i4>
      </vt:variant>
      <vt:variant>
        <vt:i4>9</vt:i4>
      </vt:variant>
      <vt:variant>
        <vt:i4>0</vt:i4>
      </vt:variant>
      <vt:variant>
        <vt:i4>5</vt:i4>
      </vt:variant>
      <vt:variant>
        <vt:lpwstr>https://www.humanservices.gov.au/health-professionals/services/medicare/australian-immunisation-register-health-professionals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http://ww2.health.wa.gov.au/Articles/U_Z/Western-Australian-Vaccine-Safety-Surveillance-WAVSS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http://www.immunise.health.gov.au/internet/immunise/publishing.nsf/Content/IMM77-cnt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http://www.immunise.health.gov.au/internet/immunise/publishing.nsf/Content/Handbook10-home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2020-05-07T07:16:00Z</dcterms:created>
  <dcterms:modified xsi:type="dcterms:W3CDTF">2020-05-07T07:16:00Z</dcterms:modified>
</cp:coreProperties>
</file>