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66" w:rsidRDefault="00C6252C" w:rsidP="001F6030">
      <w:r w:rsidRPr="006F36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64F52" wp14:editId="244DB6DC">
                <wp:simplePos x="0" y="0"/>
                <wp:positionH relativeFrom="column">
                  <wp:posOffset>-1351280</wp:posOffset>
                </wp:positionH>
                <wp:positionV relativeFrom="paragraph">
                  <wp:posOffset>-175260</wp:posOffset>
                </wp:positionV>
                <wp:extent cx="8340725" cy="3816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72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36F0" w:rsidRPr="00143F9C" w:rsidRDefault="006F36F0" w:rsidP="006F36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65E9C" w:themeColor="text2"/>
                                <w:sz w:val="34"/>
                                <w:szCs w:val="34"/>
                              </w:rPr>
                            </w:pP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OzFoodNet Ente</w:t>
                            </w:r>
                            <w:r w:rsidR="002A1586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ric Disease Surveillance Report </w:t>
                            </w:r>
                            <w:r w:rsidR="00F045A4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4</w:t>
                            </w:r>
                            <w:r w:rsidR="00F045A4" w:rsidRPr="00F045A4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="00627EBE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Quarter 2019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64F5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106.4pt;margin-top:-13.8pt;width:656.7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RolQEAAA0DAAAOAAAAZHJzL2Uyb0RvYy54bWysUk1v2zAMvQ/YfxB0X+wkaxYYcYp2RXcZ&#10;tgHtfoAiS7EAS9RIJXb+/SglTYvtNuxCSfx4fHzU5nbygzgaJAehlfNZLYUJGjoX9q38+fz4YS0F&#10;JRU6NUAwrTwZkrfb9+82Y2zMAnoYOoOCQQI1Y2xln1Jsqop0b7yiGUQTOGgBvUr8xH3VoRoZ3Q/V&#10;oq5X1QjYRQRtiNj7cA7KbcG31uj03VoySQytZG6pWCx2l2213ahmjyr2Tl9oqH9g4ZUL3PQK9aCS&#10;Egd0f0F5pxEIbJpp8BVY67QpM/A08/qPaZ56FU2ZhcWheJWJ/h+s/nb8gcJ1rVxJEZTnFT2bKd3D&#10;JG6yOGOkhnOeImelid285Bc/sTPPPFn0+eRpBMdZ5tNVWsYSmp3r5cf60+JGCs2x5Xq+Whb46rU6&#10;IqUvBrzIl1Yir64oqo5fKTETTn1Jyc0CPLphyP5M8Uwl39K0my68d9CdmPbI220l/TooNFJgGj5D&#10;+QxnlLtDAutKg1x+rrmgsual7+V/5KW+fZes11+8/Q0AAP//AwBQSwMEFAAGAAgAAAAhAJfgW47g&#10;AAAADAEAAA8AAABkcnMvZG93bnJldi54bWxMj81OwzAQhO9IfQdrK3Fr1wm0pWmcCoG4gig/Ejc3&#10;3iYR8TqK3Sa8Pc4Jbjva0cw3+X60rbhQ7xvHCpKlBEFcOtNwpeD97WlxB8IHzUa3jknBD3nYF7Or&#10;XGfGDfxKl0OoRAxhn2kFdQhdhujLmqz2S9cRx9/J9VaHKPsKTa+HGG5bTKVco9UNx4Zad/RQU/l9&#10;OFsFH8+nr89b+VI92lU3uFEi2y0qdT0f73cgAo3hzwwTfkSHIjId3ZmNF62CRZqkkT1M12YNYrIk&#10;Um5AHBXcpCvAIsf/I4pfAAAA//8DAFBLAQItABQABgAIAAAAIQC2gziS/gAAAOEBAAATAAAAAAAA&#10;AAAAAAAAAAAAAABbQ29udGVudF9UeXBlc10ueG1sUEsBAi0AFAAGAAgAAAAhADj9If/WAAAAlAEA&#10;AAsAAAAAAAAAAAAAAAAALwEAAF9yZWxzLy5yZWxzUEsBAi0AFAAGAAgAAAAhALQ0xGiVAQAADQMA&#10;AA4AAAAAAAAAAAAAAAAALgIAAGRycy9lMm9Eb2MueG1sUEsBAi0AFAAGAAgAAAAhAJfgW47gAAAA&#10;DAEAAA8AAAAAAAAAAAAAAAAA7wMAAGRycy9kb3ducmV2LnhtbFBLBQYAAAAABAAEAPMAAAD8BAAA&#10;AAA=&#10;" filled="f" stroked="f">
                <v:textbox>
                  <w:txbxContent>
                    <w:p w:rsidR="006F36F0" w:rsidRPr="00143F9C" w:rsidRDefault="006F36F0" w:rsidP="006F36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65E9C" w:themeColor="text2"/>
                          <w:sz w:val="34"/>
                          <w:szCs w:val="34"/>
                        </w:rPr>
                      </w:pP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OzFoodNet Ente</w:t>
                      </w:r>
                      <w:r w:rsidR="002A1586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ric Disease Surveillance Report </w:t>
                      </w:r>
                      <w:r w:rsidR="00F045A4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4</w:t>
                      </w:r>
                      <w:r w:rsidR="00F045A4" w:rsidRPr="00F045A4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  <w:vertAlign w:val="superscript"/>
                        </w:rPr>
                        <w:t>th</w:t>
                      </w:r>
                      <w:r w:rsidR="00627EBE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Quarter 2019</w:t>
                      </w:r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6CE6FE" wp14:editId="70E68CA4">
                <wp:simplePos x="0" y="0"/>
                <wp:positionH relativeFrom="column">
                  <wp:posOffset>-565150</wp:posOffset>
                </wp:positionH>
                <wp:positionV relativeFrom="paragraph">
                  <wp:posOffset>205740</wp:posOffset>
                </wp:positionV>
                <wp:extent cx="6867525" cy="946150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946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0EF" w:rsidRPr="00D034A9" w:rsidRDefault="0092646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This report describes enteric disease surveillance and investigations carried out during the </w:t>
                            </w:r>
                            <w:r w:rsidR="00F045A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fourth</w:t>
                            </w: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quarter of 201</w:t>
                            </w:r>
                            <w:r w:rsidR="00D173B1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9 (</w:t>
                            </w:r>
                            <w:r w:rsidR="00F045A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D050EF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Q19)</w:t>
                            </w: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by OzFoodNet WA in conjunction with other Western Australian Department of Health agencies and local governments.</w:t>
                            </w:r>
                            <w:r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F36F0" w:rsidRPr="00D034A9" w:rsidRDefault="00926467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>Some of the increase in notifications is likely to be due to the introduction of polymerase chain reaction (PCR) testing of faecal specimens which has greater sensitivity than culture techniques.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CE6FE" id="Text Box 2" o:spid="_x0000_s1027" type="#_x0000_t202" style="position:absolute;margin-left:-44.5pt;margin-top:16.2pt;width:540.75pt;height:7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nhOgIAAF4EAAAOAAAAZHJzL2Uyb0RvYy54bWysVNtu2zAMfR+wfxD0vtjxcqsRp+jSdRjQ&#10;XYB2H6DIcixMEjVJiZ19/SjZSbPtbdiLIZHUIXl46PVtrxU5CuclmIpOJzklwnCopdlX9Nvzw5sV&#10;JT4wUzMFRlT0JDy93bx+te5sKQpoQdXCEQQxvuxsRdsQbJllnrdCMz8BKww6G3CaBby6fVY71iG6&#10;VlmR54usA1dbB1x4j9b7wUk3Cb9pBA9fmsaLQFRFsbaQvi59d/Gbbdas3DtmW8nHMtg/VKGZNJj0&#10;AnXPAiMHJ/+C0pI78NCECQedQdNILlIP2M00/6Obp5ZZkXpBcry90OT/Hyz/fPzqiKwr+jZfUmKY&#10;xiE9iz6Qd9CTIvLTWV9i2JPFwNCjGeecevX2Efh3TwxsW2b24s456FrBaqxvGl9mV08HHB9Bdt0n&#10;qDENOwRIQH3jdCQP6SCIjnM6XWYTS+FoXKwWy3kxp4Sj72a2mM7T8DJWnl9b58MHAZrEQ0Udzj6h&#10;s+OjD7EaVp5DYjIPStYPUql0iXoTW+XIkaFSQl+kp+qgsdTBhmrLR72gGVU1mFdnM8In1UaUlOy3&#10;BMqQDuuOHcR8BmLmJD4tA26AkrqiCWvMEXl8b+oUEphUwxmTKDMSG7kcWA39rk8zTKxH0ndQn5Bp&#10;B4PgcUHx0IL7SUmHYq+o/3FgTlCiPhqc1s10NovbkS6z+bLAi7v27K49zHCEQpYoGY7bkDZqaOwO&#10;p9rIRPhLJWPJKOJEzbhwcUuu7ynq5bew+QUAAP//AwBQSwMEFAAGAAgAAAAhAMC190HhAAAACgEA&#10;AA8AAABkcnMvZG93bnJldi54bWxMj01Lw0AURfeC/2F4ghtpJ42tJDGTUgIutFCxiuv5eCbBzEzI&#10;TNP03/tc6fLxDveeW25n27MJx9B5J2C1TICh0950rhHw8f60yICFKJ2RvXco4IIBttX1VSkL48/u&#10;DadjbBiFuFBIAW2MQ8F50C1aGZZ+QEe/Lz9aGekcG25GeaZw2/M0SR64lZ2jhlYOWLeov48nK0C/&#10;Kl3bu/Tlog7qs55wv3ne7YW4vZl3j8AizvEPhl99UoeKnJQ/ORNYL2CR5bQlCrhP18AIyPN0A0wR&#10;ma3WwKuS/59Q/QAAAP//AwBQSwECLQAUAAYACAAAACEAtoM4kv4AAADhAQAAEwAAAAAAAAAAAAAA&#10;AAAAAAAAW0NvbnRlbnRfVHlwZXNdLnhtbFBLAQItABQABgAIAAAAIQA4/SH/1gAAAJQBAAALAAAA&#10;AAAAAAAAAAAAAC8BAABfcmVscy8ucmVsc1BLAQItABQABgAIAAAAIQDT3lnhOgIAAF4EAAAOAAAA&#10;AAAAAAAAAAAAAC4CAABkcnMvZTJvRG9jLnhtbFBLAQItABQABgAIAAAAIQDAtfdB4QAAAAoBAAAP&#10;AAAAAAAAAAAAAAAAAJQEAABkcnMvZG93bnJldi54bWxQSwUGAAAAAAQABADzAAAAogUAAAAA&#10;" fillcolor="#d7dded [671]" stroked="f">
                <v:textbox>
                  <w:txbxContent>
                    <w:p w:rsidR="00D050EF" w:rsidRPr="00D034A9" w:rsidRDefault="00926467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This report describes enteric disease surveillance and investigations carried out during the </w:t>
                      </w:r>
                      <w:r w:rsidR="00F045A4">
                        <w:rPr>
                          <w:rFonts w:eastAsia="Calibri" w:cs="Arial"/>
                          <w:sz w:val="20"/>
                          <w:szCs w:val="20"/>
                        </w:rPr>
                        <w:t>fourth</w:t>
                      </w: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quarter of 201</w:t>
                      </w:r>
                      <w:r w:rsidR="00D173B1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>9 (</w:t>
                      </w:r>
                      <w:r w:rsidR="00F045A4">
                        <w:rPr>
                          <w:rFonts w:eastAsia="Calibri" w:cs="Arial"/>
                          <w:sz w:val="20"/>
                          <w:szCs w:val="20"/>
                        </w:rPr>
                        <w:t>4</w:t>
                      </w:r>
                      <w:r w:rsidR="00D050EF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>Q19)</w:t>
                      </w: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by OzFoodNet WA in conjunction with other Western Australian Department of Health agencies and local governments.</w:t>
                      </w:r>
                      <w:r w:rsidRPr="00D034A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F36F0" w:rsidRPr="00D034A9" w:rsidRDefault="00926467">
                      <w:pPr>
                        <w:rPr>
                          <w:rFonts w:cs="Arial"/>
                          <w:szCs w:val="24"/>
                        </w:rPr>
                      </w:pPr>
                      <w:r w:rsidRPr="00D034A9">
                        <w:rPr>
                          <w:rFonts w:cs="Arial"/>
                          <w:sz w:val="20"/>
                          <w:szCs w:val="20"/>
                        </w:rPr>
                        <w:t>Some of the increase in notifications is likely to be due to the introduction of polymerase chain reaction (PCR) testing of faecal specimens which has greater sensitivity than culture techniques.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FC2612">
        <w:rPr>
          <w:noProof/>
          <w:color w:val="899BCA" w:themeColor="text2" w:themeTint="99"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E5EC5" wp14:editId="57769AAF">
                <wp:simplePos x="0" y="0"/>
                <wp:positionH relativeFrom="column">
                  <wp:posOffset>4831715</wp:posOffset>
                </wp:positionH>
                <wp:positionV relativeFrom="paragraph">
                  <wp:posOffset>-591820</wp:posOffset>
                </wp:positionV>
                <wp:extent cx="1884045" cy="321945"/>
                <wp:effectExtent l="0" t="0" r="1905" b="190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586" w:rsidRPr="002A3F93" w:rsidRDefault="002A1586" w:rsidP="002A158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Enhancing foodborne disease surveillance a</w:t>
                            </w:r>
                            <w:r w:rsidRPr="002A3F9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cross Australia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5EC5" id="Text Box 7" o:spid="_x0000_s1028" type="#_x0000_t202" style="position:absolute;margin-left:380.45pt;margin-top:-46.6pt;width:148.35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qegAIAABcFAAAOAAAAZHJzL2Uyb0RvYy54bWysVNmO2yAUfa/Uf0C8J17qZGJrnNEsTVVp&#10;ukgz/QACOEa1gQKJnVb9914gyWS6SFVVP2CWy7nLOZfLq7Hv0I4bK5SscTZNMeKSKibkpsafHleT&#10;BUbWEclIpySv8Z5bfLV8+eJy0BXPVas6xg0CEGmrQde4dU5XSWJpy3tip0pzCYeNMj1xsDSbhBky&#10;AHrfJXmazpNBGaaNotxa2L2Lh3gZ8JuGU/ehaSx3qKsxxObCaMK49mOyvCTVxhDdCnoIg/xDFD0R&#10;EpyeoO6II2hrxC9QvaBGWdW4KVV9oppGUB5ygGyy9KdsHlqiecgFimP1qUz2/8HS97uPBgkG3M0x&#10;kqQHjh756NCNGtGFL8+gbQVWDxrs3AjbYBpStfpe0c8WSXXbErnh18aooeWEQXiZv5mcXY041oOs&#10;h3eKgRuydSoAjY3pfe2gGgjQgab9iRofCvUuF4siLWYYUTh7lWclzL0LUh1va2PdG6565Cc1NkB9&#10;QCe7e+ui6dHEO7OqE2wlui4szGZ92xm0IyCTVfgO6M/MOumNpfLXImLcgSDBhz/z4Qbav5VZXqQ3&#10;eTlZzRcXk2JVzCblRbqYpFl5U87ToizuVt99gFlRtYIxLu+F5EcJZsXfUXxohiieIEI01Lic5bNI&#10;0R+TTMP3uyR74aAjO9HXeHEyIpUn9rVkkDapHBFdnCfPww+EQA2O/1CVIAPPfNSAG9djEFzuvXuJ&#10;rBXbgy6MAtqAfHhNYNIq8xWjATqzxvbLlhiOUfdWem35sKCV4yKFFUbm/GR9fkIkBagaO4zi9NbF&#10;9t9qIzYteIpqluoa9NiIIJWnqA4qhu4LOR1eCt/e5+tg9fSeLX8AAAD//wMAUEsDBBQABgAIAAAA&#10;IQDMV4qu3wAAAAwBAAAPAAAAZHJzL2Rvd25yZXYueG1sTI/BTsMwDIbvSLxDZCRuW7pu61hpOgEq&#10;ElcG4uw1XlPWOFWTbuXtyU5wtP3p9/cXu8l24kyDbx0rWMwTEMS10y03Cj4/XmcPIHxA1tg5JgU/&#10;5GFX3t4UmGt34Xc670MjYgj7HBWYEPpcSl8bsujnrieOt6MbLIY4Do3UA15iuO1kmiSZtNhy/GCw&#10;pxdD9Wk/WgWV/z6uFtWbXdr2C6U1Jz0+V0rd301PjyACTeEPhqt+VIcyOh3cyNqLTsEmS7YRVTDb&#10;LlMQVyJZbzIQh7hapWuQZSH/lyh/AQAA//8DAFBLAQItABQABgAIAAAAIQC2gziS/gAAAOEBAAAT&#10;AAAAAAAAAAAAAAAAAAAAAABbQ29udGVudF9UeXBlc10ueG1sUEsBAi0AFAAGAAgAAAAhADj9If/W&#10;AAAAlAEAAAsAAAAAAAAAAAAAAAAALwEAAF9yZWxzLy5yZWxzUEsBAi0AFAAGAAgAAAAhABnAep6A&#10;AgAAFwUAAA4AAAAAAAAAAAAAAAAALgIAAGRycy9lMm9Eb2MueG1sUEsBAi0AFAAGAAgAAAAhAMxX&#10;iq7fAAAADAEAAA8AAAAAAAAAAAAAAAAA2gQAAGRycy9kb3ducmV2LnhtbFBLBQYAAAAABAAEAPMA&#10;AADmBQAAAAA=&#10;" stroked="f">
                <v:textbox inset=".5mm,.3mm,.5mm,.3mm">
                  <w:txbxContent>
                    <w:p w:rsidR="002A1586" w:rsidRPr="002A3F93" w:rsidRDefault="002A1586" w:rsidP="002A158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Enhancing foodborne disease surveillance a</w:t>
                      </w:r>
                      <w:r w:rsidRPr="002A3F93">
                        <w:rPr>
                          <w:rFonts w:cs="Arial"/>
                          <w:b/>
                          <w:sz w:val="18"/>
                          <w:szCs w:val="18"/>
                        </w:rPr>
                        <w:t>cross Australia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5504C9"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7C1913B9" wp14:editId="69168C7A">
            <wp:simplePos x="0" y="0"/>
            <wp:positionH relativeFrom="column">
              <wp:posOffset>3977640</wp:posOffset>
            </wp:positionH>
            <wp:positionV relativeFrom="paragraph">
              <wp:posOffset>-720090</wp:posOffset>
            </wp:positionV>
            <wp:extent cx="837565" cy="53213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E9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118104B" wp14:editId="3335DD45">
            <wp:simplePos x="0" y="0"/>
            <wp:positionH relativeFrom="column">
              <wp:posOffset>-786765</wp:posOffset>
            </wp:positionH>
            <wp:positionV relativeFrom="paragraph">
              <wp:posOffset>-632984</wp:posOffset>
            </wp:positionV>
            <wp:extent cx="2423160" cy="445135"/>
            <wp:effectExtent l="0" t="0" r="0" b="0"/>
            <wp:wrapNone/>
            <wp:docPr id="2" name="Picture 2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266" w:rsidRDefault="00EC18A0">
      <w:pPr>
        <w:spacing w:after="200" w:line="276" w:lineRule="auto"/>
      </w:pPr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246D02" wp14:editId="4276BF0B">
                <wp:simplePos x="0" y="0"/>
                <wp:positionH relativeFrom="margin">
                  <wp:align>center</wp:align>
                </wp:positionH>
                <wp:positionV relativeFrom="paragraph">
                  <wp:posOffset>8117840</wp:posOffset>
                </wp:positionV>
                <wp:extent cx="6852285" cy="52529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2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6D" w:rsidRPr="00EC18A0" w:rsidRDefault="00E842C2" w:rsidP="00BE50E9">
                            <w:pPr>
                              <w:spacing w:after="0"/>
                              <w:rPr>
                                <w:rFonts w:cs="Arial"/>
                                <w:color w:val="005B38"/>
                                <w:sz w:val="20"/>
                                <w:szCs w:val="20"/>
                              </w:rPr>
                            </w:pPr>
                            <w:r w:rsidRPr="00EC18A0">
                              <w:rPr>
                                <w:rFonts w:eastAsia="+mn-ea" w:cs="Arial"/>
                                <w:b/>
                                <w:bCs/>
                                <w:color w:val="465E9C" w:themeColor="text2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 xml:space="preserve">Appendix 1 </w:t>
                            </w:r>
                            <w:r w:rsidRPr="00EC18A0">
                              <w:rPr>
                                <w:rFonts w:eastAsia="+mn-ea" w:cs="Arial"/>
                                <w:bCs/>
                                <w:color w:val="465E9C" w:themeColor="text2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>Enteric diseases by public health region:</w:t>
                            </w:r>
                            <w:r w:rsidRPr="00EC18A0">
                              <w:rPr>
                                <w:rFonts w:cs="Arial"/>
                                <w:color w:val="005B3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6066D" w:rsidRPr="00EC18A0" w:rsidRDefault="00E27367" w:rsidP="00C442A8">
                            <w:pPr>
                              <w:rPr>
                                <w:rFonts w:cs="Arial"/>
                                <w:color w:val="757477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C442A8" w:rsidRPr="00EC18A0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https://ww2.health.wa.gov.au/~/media/Files/Corporate/general%20documents/Infectious diseases/Word/OzFoodNet/WA-OzFoodnet-appendix1-2019-Q4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46D02" id="Text Box 21" o:spid="_x0000_s1029" type="#_x0000_t202" style="position:absolute;margin-left:0;margin-top:639.2pt;width:539.55pt;height:41.3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+ggAIAAGsFAAAOAAAAZHJzL2Uyb0RvYy54bWysVN9v2jAQfp+0/8Hy+wikpaOIULFWTJOq&#10;thqd+mwcG6LZPs82JOyv79lJAHV76bSX5Hz33fl+fOfZTaMV2QvnKzAFHQ2GlAjDoazMpqA/npef&#10;JpT4wEzJFBhR0IPw9Gb+8cOstlORwxZUKRzBIMZPa1vQbQh2mmWeb4VmfgBWGDRKcJoFPLpNVjpW&#10;Y3Stsnw4vMpqcKV1wIX3qL1rjXSe4kspeHiU0otAVEExt5C+Ln3X8ZvNZ2y6ccxuK96lwf4hC80q&#10;g5ceQ92xwMjOVX+E0hV34EGGAQedgZQVF6kGrGY0fFPNasusSLVgc7w9tsn/v7D8Yf/kSFUWNB9R&#10;YpjGGT2LJpAv0BBUYX9q66cIW1kEhgb1OOde71EZy26k0/GPBRG0Y6cPx+7GaByVV5Nxnk/GlHC0&#10;jfNxfn0Rw2Qnb+t8+CpAkygU1OH0UlPZ/t6HFtpD4mUGlpVSaYLKkBpvuBgPk8PRgsGViViRuNCF&#10;iRW1mScpHJSIGGW+C4m9SAVERWKhuFWO7Bnyh3EuTEi1p7iIjiiJSbzHscOfsnqPc1tHfzOYcHTW&#10;lQGXqn+TdvmzT1m2eOz5Wd1RDM26SSRIE4maNZQHnLeDdmO85csKh3LPfHhiDlcER4xrHx7xIxVg&#10;86GTKNmC+/03fcQjc9FKSY0rV1D/a8ecoER9M8jp69HlZdzRdLgcf87x4M4t63OL2elbwKkgbTG7&#10;JEZ8UL0oHegXfB0W8VY0McPx7oKGXrwN7UOArwsXi0UC4VZaFu7NyvIYOg4pUu65eWHOdrwMyOgH&#10;6JeTTd/Qs8VGTwOLXQBZJe6eutr1Hzc6sb97feKTcX5OqNMbOX8FAAD//wMAUEsDBBQABgAIAAAA&#10;IQD/3cy94gAAAAsBAAAPAAAAZHJzL2Rvd25yZXYueG1sTI9BT8MwDIXvSPyHyEjcWNoCWylNp6nS&#10;hITYYWMXbmnjtRWNU5psK/x6vBPcbL+n5+/ly8n24oSj7xwpiGcRCKTamY4aBfv39V0KwgdNRveO&#10;UME3elgW11e5zow70xZPu9AIDiGfaQVtCEMmpa9btNrP3IDE2sGNVgdex0aaUZ853PYyiaK5tLoj&#10;/tDqAcsW68/d0Sp4Ldcbva0Sm/705cvbYTV87T8elbq9mVbPIAJO4c8MF3xGh4KZKnck40WvgIsE&#10;viaL9AHERY8WTzGIiqf7eRyDLHL5v0PxCwAA//8DAFBLAQItABQABgAIAAAAIQC2gziS/gAAAOEB&#10;AAATAAAAAAAAAAAAAAAAAAAAAABbQ29udGVudF9UeXBlc10ueG1sUEsBAi0AFAAGAAgAAAAhADj9&#10;If/WAAAAlAEAAAsAAAAAAAAAAAAAAAAALwEAAF9yZWxzLy5yZWxzUEsBAi0AFAAGAAgAAAAhALr6&#10;b6CAAgAAawUAAA4AAAAAAAAAAAAAAAAALgIAAGRycy9lMm9Eb2MueG1sUEsBAi0AFAAGAAgAAAAh&#10;AP/dzL3iAAAACwEAAA8AAAAAAAAAAAAAAAAA2gQAAGRycy9kb3ducmV2LnhtbFBLBQYAAAAABAAE&#10;APMAAADpBQAAAAA=&#10;" filled="f" stroked="f" strokeweight=".5pt">
                <v:textbox>
                  <w:txbxContent>
                    <w:p w:rsidR="0066016D" w:rsidRPr="00EC18A0" w:rsidRDefault="00E842C2" w:rsidP="00BE50E9">
                      <w:pPr>
                        <w:spacing w:after="0"/>
                        <w:rPr>
                          <w:rFonts w:cs="Arial"/>
                          <w:color w:val="005B38"/>
                          <w:sz w:val="20"/>
                          <w:szCs w:val="20"/>
                        </w:rPr>
                      </w:pPr>
                      <w:r w:rsidRPr="00EC18A0">
                        <w:rPr>
                          <w:rFonts w:eastAsia="+mn-ea" w:cs="Arial"/>
                          <w:b/>
                          <w:bCs/>
                          <w:color w:val="465E9C" w:themeColor="text2"/>
                          <w:kern w:val="24"/>
                          <w:sz w:val="20"/>
                          <w:szCs w:val="20"/>
                          <w:lang w:eastAsia="en-AU"/>
                        </w:rPr>
                        <w:t xml:space="preserve">Appendix 1 </w:t>
                      </w:r>
                      <w:r w:rsidRPr="00EC18A0">
                        <w:rPr>
                          <w:rFonts w:eastAsia="+mn-ea" w:cs="Arial"/>
                          <w:bCs/>
                          <w:color w:val="465E9C" w:themeColor="text2"/>
                          <w:kern w:val="24"/>
                          <w:sz w:val="20"/>
                          <w:szCs w:val="20"/>
                          <w:lang w:eastAsia="en-AU"/>
                        </w:rPr>
                        <w:t>Enteric diseases by public health region:</w:t>
                      </w:r>
                      <w:r w:rsidRPr="00EC18A0">
                        <w:rPr>
                          <w:rFonts w:cs="Arial"/>
                          <w:color w:val="005B38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6066D" w:rsidRPr="00EC18A0" w:rsidRDefault="00E27367" w:rsidP="00C442A8">
                      <w:pPr>
                        <w:rPr>
                          <w:rFonts w:cs="Arial"/>
                          <w:color w:val="757477"/>
                          <w:sz w:val="18"/>
                          <w:szCs w:val="18"/>
                        </w:rPr>
                      </w:pPr>
                      <w:hyperlink r:id="rId11" w:history="1">
                        <w:r w:rsidR="00C442A8" w:rsidRPr="00EC18A0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https://ww2.health.wa.gov.au/~/media/Files/Corporate/general%20documents/Infectious diseases/Word/OzFoodNet/WA-OzFoodnet-appendix1-2019-Q4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951004" wp14:editId="4E942791">
                <wp:simplePos x="0" y="0"/>
                <wp:positionH relativeFrom="column">
                  <wp:posOffset>-581025</wp:posOffset>
                </wp:positionH>
                <wp:positionV relativeFrom="paragraph">
                  <wp:posOffset>4088765</wp:posOffset>
                </wp:positionV>
                <wp:extent cx="6868795" cy="4533900"/>
                <wp:effectExtent l="0" t="0" r="825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4533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266" w:rsidRPr="00E065B7" w:rsidRDefault="00F16266" w:rsidP="00F1626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Change in enteric disease notifications (</w:t>
                            </w:r>
                            <w:proofErr w:type="gramStart"/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%)</w:t>
                            </w:r>
                            <w:r w:rsidR="0024249E"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8"/>
                                <w:szCs w:val="32"/>
                                <w:lang w:eastAsia="en-AU"/>
                              </w:rPr>
                              <w:t>*</w:t>
                            </w:r>
                            <w:proofErr w:type="gramEnd"/>
                          </w:p>
                          <w:p w:rsidR="00F16266" w:rsidRDefault="00E27367" w:rsidP="003A396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CC996" wp14:editId="6CEE646B">
                                  <wp:extent cx="6186792" cy="36815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1509" cy="3708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1004" id="_x0000_s1030" type="#_x0000_t202" style="position:absolute;margin-left:-45.75pt;margin-top:321.95pt;width:540.85pt;height:3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MBRQIAAHMEAAAOAAAAZHJzL2Uyb0RvYy54bWysVMtu2zAQvBfoPxC8N7Id27GFyEGaNEWB&#10;9AEk/YA1RVlESS5L0pbcr8+Ssh23vRW9CORyOTuc2dX1TW8020kfFNqKjy9GnEkrsFZ2U/Hvzw/v&#10;FpyFCLYGjVZWfC8Dv1m9fXPduVJOsEVdS88IxIaycxVvY3RlUQTRSgPhAp20dNigNxBp6zdF7aEj&#10;dKOLyWg0Lzr0tfMoZAgUvR8O+SrjN40U8WvTBBmZrjhxi/nr83edvsXqGsqNB9cqcaAB/8DCgLJU&#10;9AR1DxHY1qu/oIwSHgM28UKgKbBplJD5DfSa8eiP1zy14GR+C4kT3Emm8P9gxZfdN89UXfEpZxYM&#10;WfQs+8jeY88mSZ3OhZKSnhylxZ7C5HJ+aXCPKH4EZvGuBbuRt95j10qoid043SzOrg44IYGsu89Y&#10;UxnYRsxAfeNNko7EYIROLu1PziQqgoLzxXxxtZxxJuhsOru8XI6ydwWUx+vOh/hRomFpUXFP1md4&#10;2D2GmOhAeUxJ1QJqVT8orfMmtZu8057tgBol9pN8VW8NcR1i1GxDSSgpTE01hBevYdCuhSE6O0ap&#10;aG7lhJ0p/FZWW9ZVfDmbzHI5i4lP7kijIo2FVqbiucKhUZO8H2ydUyIoPaypiLYHvZPEg9ixX/cH&#10;Yyk/ebHGek8GeBymgKaWFi36X5x1NAEVDz+34CVn+pMlE5fj6TSNTN5MZ1cT2vjzk/X5CVhBUKQd&#10;Z8PyLuYxS/JavCWzG5VteGVyoEydnaU5TGEanfN9znr9V6xeAAAA//8DAFBLAwQUAAYACAAAACEA&#10;n4xI3t8AAAAMAQAADwAAAGRycy9kb3ducmV2LnhtbEyPwU7DMBBE70j8g7VI3FqnKSlNiFNFiEpw&#10;pOXQ4zZZkgh7bcVuGv4ec4Ljap5m3pa72Wgx0egHywpWywQEcWPbgTsFH8f9YgvCB+QWtWVS8E0e&#10;dtXtTYlFa6/8TtMhdCKWsC9QQR+CK6T0TU8G/dI64ph92tFgiOfYyXbEayw3WqZJspEGB44LPTp6&#10;7qn5OlyMgrHGIT36V85e9q4+4ewmTW9K3d/N9ROIQHP4g+FXP6pDFZ3O9sKtF1rBIl9lEVWweVjn&#10;ICKR50kK4hzRdfaYg6xK+f+J6gcAAP//AwBQSwECLQAUAAYACAAAACEAtoM4kv4AAADhAQAAEwAA&#10;AAAAAAAAAAAAAAAAAAAAW0NvbnRlbnRfVHlwZXNdLnhtbFBLAQItABQABgAIAAAAIQA4/SH/1gAA&#10;AJQBAAALAAAAAAAAAAAAAAAAAC8BAABfcmVscy8ucmVsc1BLAQItABQABgAIAAAAIQDPzbMBRQIA&#10;AHMEAAAOAAAAAAAAAAAAAAAAAC4CAABkcnMvZTJvRG9jLnhtbFBLAQItABQABgAIAAAAIQCfjEje&#10;3wAAAAwBAAAPAAAAAAAAAAAAAAAAAJ8EAABkcnMvZG93bnJldi54bWxQSwUGAAAAAAQABADzAAAA&#10;qwUAAAAA&#10;" fillcolor="#d7dded [671]" stroked="f">
                <v:fill opacity="32896f"/>
                <v:textbox>
                  <w:txbxContent>
                    <w:p w:rsidR="00F16266" w:rsidRPr="00E065B7" w:rsidRDefault="00F16266" w:rsidP="00F1626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Change in enteric disease notifications (</w:t>
                      </w:r>
                      <w:proofErr w:type="gramStart"/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%)</w:t>
                      </w:r>
                      <w:r w:rsidR="0024249E"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8"/>
                          <w:szCs w:val="32"/>
                          <w:lang w:eastAsia="en-AU"/>
                        </w:rPr>
                        <w:t>*</w:t>
                      </w:r>
                      <w:proofErr w:type="gramEnd"/>
                    </w:p>
                    <w:p w:rsidR="00F16266" w:rsidRDefault="00E27367" w:rsidP="003A396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9CC996" wp14:editId="6CEE646B">
                            <wp:extent cx="6186792" cy="36815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1509" cy="3708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BD040" wp14:editId="6EC11D7C">
                <wp:simplePos x="0" y="0"/>
                <wp:positionH relativeFrom="column">
                  <wp:posOffset>-581025</wp:posOffset>
                </wp:positionH>
                <wp:positionV relativeFrom="paragraph">
                  <wp:posOffset>8582025</wp:posOffset>
                </wp:positionV>
                <wp:extent cx="6885305" cy="52451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C4" w:rsidRPr="0024249E" w:rsidRDefault="00BE50E9" w:rsidP="0024249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</w:t>
                            </w:r>
                            <w:r w:rsidR="00D723C4" w:rsidRPr="0024249E">
                              <w:rPr>
                                <w:sz w:val="16"/>
                              </w:rPr>
      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BD040" id="_x0000_s1031" type="#_x0000_t202" style="position:absolute;margin-left:-45.75pt;margin-top:675.75pt;width:542.1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QDEAIAAPsDAAAOAAAAZHJzL2Uyb0RvYy54bWysU9uO2yAQfa/Uf0C8N3bceDexQlbb3W5V&#10;aXuRdvsBBOMYFRgKJPb26zvgJI3at6o8oIGZOcw5M6xvRqPJQfqgwDI6n5WUSCugVXbH6LfnhzdL&#10;SkLktuUarGT0RQZ6s3n9aj24RlbQg26lJwhiQzM4RvsYXVMUQfTS8DADJy06O/CGRzz6XdF6PiC6&#10;0UVVllfFAL51HoQMAW/vJyfdZPyukyJ+6bogI9GMYm0x7z7v27QXmzVvdp67XoljGfwfqjBcWXz0&#10;DHXPIyd7r/6CMkp4CNDFmQBTQNcpITMHZDMv/2Dz1HMnMxcUJ7izTOH/wYrPh6+eqJbRanVNieUG&#10;m/Qsx0jewUiqpM/gQoNhTw4D44jX2OfMNbhHEN8DsXDXc7uTt97D0EveYn3zlFlcpE44IYFsh0/Q&#10;4jN8HyEDjZ03STyUgyA69unl3JtUisDLq+WyflvWlAj01dWinufmFbw5ZTsf4gcJhiSDUY+9z+j8&#10;8BhiqoY3p5D0mIUHpXXuv7ZkYHRVV3VOuPAYFXE8tTKMLsu0poFJJN/bNidHrvRk4wPaHlknohPl&#10;OG7HLHB9EnML7QvK4GGaRvw9aPTgf1Iy4CQyGn7suZeU6I8WpVzNF4s0uvmwqK8rPPhLz/bSw61A&#10;KEYjJZN5F/O4T5RvUfJOZTVSb6ZKjiXjhGWRjr8hjfDlOUf9/rObXwAAAP//AwBQSwMEFAAGAAgA&#10;AAAhAPQIpgbfAAAADQEAAA8AAABkcnMvZG93bnJldi54bWxMj0FPwzAMhe9I/IfISNy2pFuLaGk6&#10;IRBXEAMm7ZY1XlvROFWTreXf453gZvs9PX+v3MyuF2ccQ+dJQ7JUIJBqbztqNHx+vCzuQYRoyJre&#10;E2r4wQCb6vqqNIX1E73jeRsbwSEUCqOhjXEopAx1i86EpR+QWDv60ZnI69hIO5qJw10vV0rdSWc6&#10;4g+tGfCpxfp7e3Iavl6P+12q3ppnlw2Tn5Ukl0utb2/mxwcQEef4Z4YLPqNDxUwHfyIbRK9hkScZ&#10;W1lYZ5eJLXm+4jYHPqXrNAFZlfJ/i+oXAAD//wMAUEsBAi0AFAAGAAgAAAAhALaDOJL+AAAA4QEA&#10;ABMAAAAAAAAAAAAAAAAAAAAAAFtDb250ZW50X1R5cGVzXS54bWxQSwECLQAUAAYACAAAACEAOP0h&#10;/9YAAACUAQAACwAAAAAAAAAAAAAAAAAvAQAAX3JlbHMvLnJlbHNQSwECLQAUAAYACAAAACEA7GG0&#10;AxACAAD7AwAADgAAAAAAAAAAAAAAAAAuAgAAZHJzL2Uyb0RvYy54bWxQSwECLQAUAAYACAAAACEA&#10;9AimBt8AAAANAQAADwAAAAAAAAAAAAAAAABqBAAAZHJzL2Rvd25yZXYueG1sUEsFBgAAAAAEAAQA&#10;8wAAAHYFAAAAAA==&#10;" filled="f" stroked="f">
                <v:textbox>
                  <w:txbxContent>
                    <w:p w:rsidR="00D723C4" w:rsidRPr="0024249E" w:rsidRDefault="00BE50E9" w:rsidP="0024249E">
                      <w:pPr>
                        <w:rPr>
                          <w:sz w:val="16"/>
                        </w:rPr>
                      </w:pPr>
                      <w:r>
                        <w:rPr>
                          <w:szCs w:val="24"/>
                        </w:rPr>
                        <w:t>*</w:t>
                      </w:r>
                      <w:r w:rsidR="00D723C4" w:rsidRPr="0024249E">
                        <w:rPr>
                          <w:sz w:val="16"/>
                        </w:rPr>
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</w:r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BED5C6" wp14:editId="481BC1AE">
                <wp:simplePos x="0" y="0"/>
                <wp:positionH relativeFrom="column">
                  <wp:posOffset>-564543</wp:posOffset>
                </wp:positionH>
                <wp:positionV relativeFrom="paragraph">
                  <wp:posOffset>1004901</wp:posOffset>
                </wp:positionV>
                <wp:extent cx="6867525" cy="2949575"/>
                <wp:effectExtent l="0" t="0" r="952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94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6F0" w:rsidRPr="00143F9C" w:rsidRDefault="006F36F0" w:rsidP="00F162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65E9C" w:themeColor="text2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Most common enteric di</w:t>
                            </w:r>
                            <w:r w:rsidR="00243C14"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sease notifications in Quarter </w:t>
                            </w:r>
                            <w:r w:rsidR="00F045A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4</w:t>
                            </w: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2019</w:t>
                            </w:r>
                          </w:p>
                          <w:p w:rsidR="006F36F0" w:rsidRDefault="00E27367" w:rsidP="00DC764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A59A6" wp14:editId="7E3DF43E">
                                  <wp:extent cx="4555192" cy="2791838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8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4165" cy="2815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D5C6" id="_x0000_s1032" type="#_x0000_t202" style="position:absolute;margin-left:-44.45pt;margin-top:79.15pt;width:540.75pt;height:2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cMQgIAAHMEAAAOAAAAZHJzL2Uyb0RvYy54bWysVNtu2zAMfR+wfxD0vjgxkrQx6hRdug4D&#10;ugvQ7gMYWY6FSaImKbG7rx8lJ2mwvQ17MSSSOjzkIX1zOxjNDtIHhbbms8mUM2kFNsruav79+eHd&#10;NWchgm1Ao5U1f5GB367fvrnpXSVL7FA30jMCsaHqXc27GF1VFEF00kCYoJOWnC16A5Guflc0HnpC&#10;N7oop9Nl0aNvnEchQyDr/ejk64zftlLEr20bZGS65sQt5q/P3236FusbqHYeXKfEkQb8AwsDylLS&#10;M9Q9RGB7r/6CMkp4DNjGiUBTYNsqIXMNVM1s+kc1Tx04mWuh5gR3blP4f7Diy+GbZ6oh7TizYEii&#10;ZzlE9h4HVqbu9C5UFPTkKCwOZE6RqdLgHlH8CMzipgO7k3feY99JaIjdLL0sLp6OOCGBbPvP2FAa&#10;2EfMQEPrTQKkZjBCJ5VezsokKoKMy+vl1aJccCbIV67mq8XVIueA6vTc+RA/SjQsHWruSfoMD4fH&#10;EBMdqE4hmT5q1TworfMljZvcaM8OQIMShzI/1XtDXEcbDdv0OC5kpqEazdevZtCug9G6OFkpaR7l&#10;hJ0phMu02rK+5qtUWGJhMfHJE2lUpLXQytQ8ZzhmTu39YJscEkHp8UxJtD32O7V4bHYctkMWdnmS&#10;cYvNCwngcdwC2lo6dOh/cdbTBtQ8/NyDl5zpT5ZEXM3m87Qy+TJfXJV08Zee7aUHrCAo6h1n43ET&#10;85qNhd2R2K3KMqSpGJkcKdNk59YctzCtzuU9R73+K9a/AQAA//8DAFBLAwQUAAYACAAAACEAYvO1&#10;9t4AAAALAQAADwAAAGRycy9kb3ducmV2LnhtbEyPwU7DMBBE70j8g7VI3FqHoEZJiFNFiEpwpO2B&#10;4zbeJlHjdWS7afh7zAmOq3maeVttFzOKmZwfLCt4WicgiFurB+4UHA+7VQ7CB2SNo2VS8E0etvX9&#10;XYWltjf+pHkfOhFL2JeooA9hKqX0bU8G/dpOxDE7W2cwxNN1Uju8xXIzyjRJMmlw4LjQ40SvPbWX&#10;/dUocA0O6cG/8+ZtNzVfuEzzSB9KPT4szQuIQEv4g+FXP6pDHZ1O9srai1HBKs+LiMZgkz+DiERR&#10;pBmIk4IsTXOQdSX//1D/AAAA//8DAFBLAQItABQABgAIAAAAIQC2gziS/gAAAOEBAAATAAAAAAAA&#10;AAAAAAAAAAAAAABbQ29udGVudF9UeXBlc10ueG1sUEsBAi0AFAAGAAgAAAAhADj9If/WAAAAlAEA&#10;AAsAAAAAAAAAAAAAAAAALwEAAF9yZWxzLy5yZWxzUEsBAi0AFAAGAAgAAAAhAFWsJwxCAgAAcwQA&#10;AA4AAAAAAAAAAAAAAAAALgIAAGRycy9lMm9Eb2MueG1sUEsBAi0AFAAGAAgAAAAhAGLztfbeAAAA&#10;CwEAAA8AAAAAAAAAAAAAAAAAnAQAAGRycy9kb3ducmV2LnhtbFBLBQYAAAAABAAEAPMAAACnBQAA&#10;AAA=&#10;" fillcolor="#d7dded [671]" stroked="f">
                <v:fill opacity="32896f"/>
                <v:textbox>
                  <w:txbxContent>
                    <w:p w:rsidR="006F36F0" w:rsidRPr="00143F9C" w:rsidRDefault="006F36F0" w:rsidP="00F162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465E9C" w:themeColor="text2"/>
                          <w:sz w:val="32"/>
                          <w:szCs w:val="32"/>
                          <w:lang w:eastAsia="en-AU"/>
                        </w:rPr>
                      </w:pP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Most common enteric di</w:t>
                      </w:r>
                      <w:r w:rsidR="00243C14"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sease notifications in Quarter </w:t>
                      </w:r>
                      <w:r w:rsidR="00F045A4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4</w:t>
                      </w: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2019</w:t>
                      </w:r>
                    </w:p>
                    <w:p w:rsidR="006F36F0" w:rsidRDefault="00E27367" w:rsidP="00DC764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AA59A6" wp14:editId="7E3DF43E">
                            <wp:extent cx="4555192" cy="2791838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8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94165" cy="2815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266">
        <w:br w:type="page"/>
      </w:r>
    </w:p>
    <w:p w:rsidR="00F16266" w:rsidRPr="00C862D8" w:rsidRDefault="002C5716" w:rsidP="009D1723">
      <w:pPr>
        <w:jc w:val="center"/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6F221591">
            <wp:simplePos x="0" y="0"/>
            <wp:positionH relativeFrom="column">
              <wp:posOffset>-602375</wp:posOffset>
            </wp:positionH>
            <wp:positionV relativeFrom="paragraph">
              <wp:posOffset>409433</wp:posOffset>
            </wp:positionV>
            <wp:extent cx="3412696" cy="164455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37" cy="165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9C2"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Outbreaks in Quarter </w:t>
      </w:r>
      <w:r w:rsidR="00A10A11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4</w:t>
      </w:r>
      <w:r w:rsidR="008449C2"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 2019</w:t>
      </w:r>
    </w:p>
    <w:p w:rsidR="00F16266" w:rsidRPr="00F16266" w:rsidRDefault="002C5716" w:rsidP="00F16266">
      <w:r>
        <w:rPr>
          <w:noProof/>
        </w:rPr>
        <w:drawing>
          <wp:anchor distT="0" distB="0" distL="114300" distR="114300" simplePos="0" relativeHeight="251656192" behindDoc="0" locked="0" layoutInCell="1" allowOverlap="1" wp14:anchorId="449877FD">
            <wp:simplePos x="0" y="0"/>
            <wp:positionH relativeFrom="column">
              <wp:posOffset>2905580</wp:posOffset>
            </wp:positionH>
            <wp:positionV relativeFrom="paragraph">
              <wp:posOffset>97600</wp:posOffset>
            </wp:positionV>
            <wp:extent cx="3393401" cy="1617260"/>
            <wp:effectExtent l="0" t="0" r="0" b="25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01" cy="161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266" w:rsidRPr="00F16266" w:rsidRDefault="00F16266" w:rsidP="00F16266"/>
    <w:p w:rsidR="00F16266" w:rsidRPr="00F16266" w:rsidRDefault="00F16266" w:rsidP="00F16266"/>
    <w:p w:rsidR="00F16266" w:rsidRPr="00F16266" w:rsidRDefault="00F16266" w:rsidP="00F16266"/>
    <w:p w:rsidR="00F16266" w:rsidRPr="00F16266" w:rsidRDefault="00F16266" w:rsidP="00F16266"/>
    <w:p w:rsidR="007164E4" w:rsidRDefault="007164E4" w:rsidP="00E03B81">
      <w:pPr>
        <w:jc w:val="center"/>
        <w:rPr>
          <w:noProof/>
        </w:rPr>
      </w:pPr>
    </w:p>
    <w:p w:rsidR="007164E4" w:rsidRPr="007164E4" w:rsidRDefault="007164E4" w:rsidP="00E03B81">
      <w:pPr>
        <w:jc w:val="center"/>
        <w:rPr>
          <w:noProof/>
          <w:sz w:val="2"/>
        </w:rPr>
      </w:pPr>
    </w:p>
    <w:p w:rsidR="00EE3FF2" w:rsidRDefault="00E03B81" w:rsidP="00E03B8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735421" cy="1332887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77" b="36453"/>
                    <a:stretch/>
                  </pic:blipFill>
                  <pic:spPr bwMode="auto">
                    <a:xfrm>
                      <a:off x="0" y="0"/>
                      <a:ext cx="3789805" cy="135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F16266" w:rsidRPr="00F16266" w:rsidRDefault="00E842C2" w:rsidP="00F16266"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19163" wp14:editId="29935DDB">
                <wp:simplePos x="0" y="0"/>
                <wp:positionH relativeFrom="column">
                  <wp:posOffset>-476885</wp:posOffset>
                </wp:positionH>
                <wp:positionV relativeFrom="paragraph">
                  <wp:posOffset>32797</wp:posOffset>
                </wp:positionV>
                <wp:extent cx="6708775" cy="5562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2C2" w:rsidRPr="00EC18A0" w:rsidRDefault="00E842C2" w:rsidP="00E842C2">
                            <w:pPr>
                              <w:spacing w:after="0"/>
                              <w:rPr>
                                <w:rFonts w:eastAsia="+mn-ea" w:cs="Arial"/>
                                <w:bCs/>
                                <w:color w:val="465E9C" w:themeColor="text2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EC18A0">
                              <w:rPr>
                                <w:rFonts w:eastAsia="+mn-ea" w:cs="Arial"/>
                                <w:b/>
                                <w:bCs/>
                                <w:color w:val="465E9C" w:themeColor="text2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>Appendix 2</w:t>
                            </w:r>
                            <w:r w:rsidRPr="00EC18A0">
                              <w:rPr>
                                <w:rFonts w:eastAsia="+mn-ea" w:cs="Arial"/>
                                <w:bCs/>
                                <w:color w:val="465E9C" w:themeColor="text2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 xml:space="preserve"> Details of foodborne outbreaks investigated in Quarter </w:t>
                            </w:r>
                            <w:r w:rsidR="002C5716" w:rsidRPr="00EC18A0">
                              <w:rPr>
                                <w:rFonts w:eastAsia="+mn-ea" w:cs="Arial"/>
                                <w:bCs/>
                                <w:color w:val="465E9C" w:themeColor="text2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>4</w:t>
                            </w:r>
                            <w:r w:rsidRPr="00EC18A0">
                              <w:rPr>
                                <w:rFonts w:eastAsia="+mn-ea" w:cs="Arial"/>
                                <w:bCs/>
                                <w:color w:val="465E9C" w:themeColor="text2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>, 2019:</w:t>
                            </w:r>
                          </w:p>
                          <w:p w:rsidR="00C442A8" w:rsidRPr="00EC18A0" w:rsidRDefault="00E27367" w:rsidP="00C442A8">
                            <w:pPr>
                              <w:rPr>
                                <w:rFonts w:cs="Arial"/>
                                <w:color w:val="757477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="00C442A8" w:rsidRPr="00EC18A0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https://ww2.health.wa.gov.au/~/media/Files/Corporate/general%20documents/Infectious diseases/Word/OzFoodNet/WA-OzFoodnet-appendix2-2019-Q4</w:t>
                              </w:r>
                            </w:hyperlink>
                            <w:r w:rsidR="00C442A8" w:rsidRPr="00EC18A0">
                              <w:rPr>
                                <w:rFonts w:cs="Arial"/>
                                <w:color w:val="7574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6016D" w:rsidRPr="00BB48D3" w:rsidRDefault="0066016D" w:rsidP="00BB48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9163" id="Text Box 23" o:spid="_x0000_s1033" type="#_x0000_t202" style="position:absolute;margin-left:-37.55pt;margin-top:2.6pt;width:528.2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DegQIAAGsFAAAOAAAAZHJzL2Uyb0RvYy54bWysVEtPGzEQvlfqf7B8L5sEktCIDUpBVJVQ&#10;QYWKs+O1yapej2s7yaa/vp+92RDRXqh62R3PfPN+XFy2jWEb5UNNtuTDkwFnykqqavtc8u+PNx/O&#10;OQtR2EoYsqrkOxX45fz9u4utm6kRrchUyjMYsWG2dSVfxehmRRHkSjUinJBTFkJNvhERT/9cVF5s&#10;Yb0xxWgwmBRb8pXzJFUI4F53Qj7P9rVWMt5pHVRkpuSILeavz99l+hbzCzF79sKtarkPQ/xDFI2o&#10;LZweTF2LKNja13+YamrpKZCOJ5KagrSupco5IJvh4FU2DyvhVM4FxQnuUKbw/8zKr5t7z+qq5KNT&#10;zqxo0KNH1Ub2iVoGFuqzdWEG2IMDMLbgo889P4CZ0m61b9IfCTHIUendobrJmgRzMh2cT6djziRk&#10;4/FkNMnlL160nQ/xs6KGJaLkHt3LRRWb2xARCaA9JDmzdFMbkztoLNvCw+l4kBUOEmgYm7Aqz8Le&#10;TMqoizxTcWdUwhj7TWnUIieQGHkK1ZXxbCMwP0JKZWPOPdsFOqE0gniL4h7/EtVblLs8es9k40G5&#10;qS35nP2rsKsffci6w6OQR3knMrbLNg/BtG/skqod+u2p25jg5E2NptyKEO+Fx4qgxVj7eIePNoTi&#10;057ibEX+19/4CY/JhZSzLVau5OHnWnjFmfliMdMfh2dnaUfz42w8HeHhjyXLY4ldN1eErgxxYJzM&#10;ZMJH05PaU/OE67BIXiESVsJ3yWNPXsXuEOC6SLVYZBC20ol4ax+cTKZTk9LIPbZPwrv9XEZM9Ffq&#10;l1PMXo1nh02alhbrSLrOs5vq3FV1X39sdB7p/fVJJ+P4nVEvN3L+GwAA//8DAFBLAwQUAAYACAAA&#10;ACEAYmv5aOAAAAAIAQAADwAAAGRycy9kb3ducmV2LnhtbEyPQU+DQBCF7yb+h82YeGsXiCgiS9OQ&#10;NCZGD629eBvYLRDZWWS3LfrrHU/19ibv5b1vitVsB3Eyk+8dKYiXEQhDjdM9tQr275tFBsIHJI2D&#10;I6Pg23hYlddXBebanWlrTrvQCi4hn6OCLoQxl9I3nbHol240xN7BTRYDn1Mr9YRnLreDTKLoXlrs&#10;iRc6HE3VmeZzd7QKXqrNG27rxGY/Q/X8eliPX/uPVKnbm3n9BCKYOVzC8IfP6FAyU+2OpL0YFCwe&#10;0pijCtIEBPuPWXwHomaRZCDLQv5/oPwFAAD//wMAUEsBAi0AFAAGAAgAAAAhALaDOJL+AAAA4QEA&#10;ABMAAAAAAAAAAAAAAAAAAAAAAFtDb250ZW50X1R5cGVzXS54bWxQSwECLQAUAAYACAAAACEAOP0h&#10;/9YAAACUAQAACwAAAAAAAAAAAAAAAAAvAQAAX3JlbHMvLnJlbHNQSwECLQAUAAYACAAAACEAzouw&#10;3oECAABrBQAADgAAAAAAAAAAAAAAAAAuAgAAZHJzL2Uyb0RvYy54bWxQSwECLQAUAAYACAAAACEA&#10;Ymv5aOAAAAAIAQAADwAAAAAAAAAAAAAAAADbBAAAZHJzL2Rvd25yZXYueG1sUEsFBgAAAAAEAAQA&#10;8wAAAOgFAAAAAA==&#10;" filled="f" stroked="f" strokeweight=".5pt">
                <v:textbox>
                  <w:txbxContent>
                    <w:p w:rsidR="00E842C2" w:rsidRPr="00EC18A0" w:rsidRDefault="00E842C2" w:rsidP="00E842C2">
                      <w:pPr>
                        <w:spacing w:after="0"/>
                        <w:rPr>
                          <w:rFonts w:eastAsia="+mn-ea" w:cs="Arial"/>
                          <w:bCs/>
                          <w:color w:val="465E9C" w:themeColor="text2"/>
                          <w:kern w:val="24"/>
                          <w:sz w:val="20"/>
                          <w:szCs w:val="20"/>
                          <w:lang w:eastAsia="en-AU"/>
                        </w:rPr>
                      </w:pPr>
                      <w:r w:rsidRPr="00EC18A0">
                        <w:rPr>
                          <w:rFonts w:eastAsia="+mn-ea" w:cs="Arial"/>
                          <w:b/>
                          <w:bCs/>
                          <w:color w:val="465E9C" w:themeColor="text2"/>
                          <w:kern w:val="24"/>
                          <w:sz w:val="20"/>
                          <w:szCs w:val="20"/>
                          <w:lang w:eastAsia="en-AU"/>
                        </w:rPr>
                        <w:t>Appendix 2</w:t>
                      </w:r>
                      <w:r w:rsidRPr="00EC18A0">
                        <w:rPr>
                          <w:rFonts w:eastAsia="+mn-ea" w:cs="Arial"/>
                          <w:bCs/>
                          <w:color w:val="465E9C" w:themeColor="text2"/>
                          <w:kern w:val="24"/>
                          <w:sz w:val="20"/>
                          <w:szCs w:val="20"/>
                          <w:lang w:eastAsia="en-AU"/>
                        </w:rPr>
                        <w:t xml:space="preserve"> Details of foodborne outbreaks investigated in Quarter </w:t>
                      </w:r>
                      <w:r w:rsidR="002C5716" w:rsidRPr="00EC18A0">
                        <w:rPr>
                          <w:rFonts w:eastAsia="+mn-ea" w:cs="Arial"/>
                          <w:bCs/>
                          <w:color w:val="465E9C" w:themeColor="text2"/>
                          <w:kern w:val="24"/>
                          <w:sz w:val="20"/>
                          <w:szCs w:val="20"/>
                          <w:lang w:eastAsia="en-AU"/>
                        </w:rPr>
                        <w:t>4</w:t>
                      </w:r>
                      <w:r w:rsidRPr="00EC18A0">
                        <w:rPr>
                          <w:rFonts w:eastAsia="+mn-ea" w:cs="Arial"/>
                          <w:bCs/>
                          <w:color w:val="465E9C" w:themeColor="text2"/>
                          <w:kern w:val="24"/>
                          <w:sz w:val="20"/>
                          <w:szCs w:val="20"/>
                          <w:lang w:eastAsia="en-AU"/>
                        </w:rPr>
                        <w:t>, 2019:</w:t>
                      </w:r>
                    </w:p>
                    <w:p w:rsidR="00C442A8" w:rsidRPr="00EC18A0" w:rsidRDefault="00E27367" w:rsidP="00C442A8">
                      <w:pPr>
                        <w:rPr>
                          <w:rFonts w:cs="Arial"/>
                          <w:color w:val="757477"/>
                          <w:sz w:val="18"/>
                          <w:szCs w:val="18"/>
                        </w:rPr>
                      </w:pPr>
                      <w:hyperlink r:id="rId18" w:history="1">
                        <w:r w:rsidR="00C442A8" w:rsidRPr="00EC18A0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https://ww2.health.wa.gov.au/~/media/Files/Corporate/general%20documents/Infectious diseases/Word/OzFoodNet/WA-OzFoodnet-appendix2-2019-Q4</w:t>
                        </w:r>
                      </w:hyperlink>
                      <w:r w:rsidR="00C442A8" w:rsidRPr="00EC18A0">
                        <w:rPr>
                          <w:rFonts w:cs="Arial"/>
                          <w:color w:val="75747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6016D" w:rsidRPr="00BB48D3" w:rsidRDefault="0066016D" w:rsidP="00BB48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6266" w:rsidRPr="00F16266" w:rsidRDefault="00F16266" w:rsidP="00F16266"/>
    <w:p w:rsidR="00F16266" w:rsidRPr="00F16266" w:rsidRDefault="00EE3FF2" w:rsidP="00F162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5845AB3" wp14:editId="11984B17">
                <wp:simplePos x="0" y="0"/>
                <wp:positionH relativeFrom="margin">
                  <wp:align>center</wp:align>
                </wp:positionH>
                <wp:positionV relativeFrom="paragraph">
                  <wp:posOffset>349506</wp:posOffset>
                </wp:positionV>
                <wp:extent cx="6708775" cy="4658995"/>
                <wp:effectExtent l="0" t="0" r="0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46589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A73" w:rsidRPr="00600F2C" w:rsidRDefault="00F16266" w:rsidP="0012565F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Key trends from Quarter </w:t>
                            </w:r>
                            <w:r w:rsidR="00C1247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4</w:t>
                            </w: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2019</w:t>
                            </w:r>
                          </w:p>
                          <w:p w:rsidR="00D050EF" w:rsidRPr="00931BD5" w:rsidRDefault="00D050EF" w:rsidP="0012565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  <w:p w:rsidR="00BB48D3" w:rsidRPr="00931BD5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</w:pPr>
                            <w:r w:rsidRPr="00931BD5">
                              <w:rPr>
                                <w:rFonts w:eastAsia="Calibri" w:cs="Times New Roman"/>
                                <w:b/>
                                <w:i/>
                                <w:color w:val="465E9C"/>
                                <w:sz w:val="20"/>
                                <w:szCs w:val="20"/>
                              </w:rPr>
                              <w:t>Salmonella</w:t>
                            </w:r>
                            <w:r w:rsidRPr="00931BD5"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  <w:t xml:space="preserve"> Typhimurium (STM) MLVA</w:t>
                            </w:r>
                            <w:r w:rsidRPr="00C862D8">
                              <w:rPr>
                                <w:rFonts w:eastAsia="Calibr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F2C">
                              <w:rPr>
                                <w:rFonts w:eastAsia="Calibri" w:cs="Times New Roman"/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03-17-09-12-523 </w:t>
                            </w:r>
                          </w:p>
                          <w:p w:rsidR="00BB48D3" w:rsidRPr="00627EBE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STM MLVA 03-17-09-12-523 has been under investigation since the type emerged in September 2016. From September 20</w:t>
                            </w:r>
                            <w:r w:rsidR="00931BD5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16 to </w:t>
                            </w:r>
                            <w:r w:rsidR="00C12474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December</w:t>
                            </w:r>
                            <w:r w:rsidR="00931BD5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2019 there </w:t>
                            </w:r>
                            <w:r w:rsidR="00995323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were 1</w:t>
                            </w:r>
                            <w:r w:rsidR="00FA076D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474</w:t>
                            </w: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notified</w:t>
                            </w:r>
                            <w:r w:rsidR="00931BD5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r w:rsidR="00FA076D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134</w:t>
                            </w:r>
                            <w:r w:rsidR="00995323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in </w:t>
                            </w:r>
                            <w:r w:rsidR="0079321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Q19. This MLVA type was the single mos</w:t>
                            </w:r>
                            <w:r w:rsidR="00600F2C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t common MLVA type notified in </w:t>
                            </w:r>
                            <w:r w:rsidR="007C4BE0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Q19, constituting </w:t>
                            </w:r>
                            <w:r w:rsidR="007C4BE0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39</w:t>
                            </w:r>
                            <w:r w:rsidRPr="00995323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%</w:t>
                            </w: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STM notifications for the quarter. </w:t>
                            </w:r>
                            <w:r w:rsidR="00A31580" w:rsidRPr="005640D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Two</w:t>
                            </w:r>
                            <w:r w:rsidR="00600F2C" w:rsidRPr="005640D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point source outbreaks</w:t>
                            </w:r>
                            <w:r w:rsidR="005640D3" w:rsidRPr="005640D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this MLVA type</w:t>
                            </w:r>
                            <w:r w:rsidR="00600F2C" w:rsidRPr="005640D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were identified in </w:t>
                            </w:r>
                            <w:r w:rsidR="005640D3" w:rsidRPr="005640D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="00600F2C" w:rsidRPr="005640D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Q19.</w:t>
                            </w:r>
                            <w:r w:rsidR="00600F2C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31B74" w:rsidRDefault="00E03B81" w:rsidP="00E03B81">
                            <w:pPr>
                              <w:pStyle w:val="Caption"/>
                              <w:spacing w:line="240" w:lineRule="auto"/>
                              <w:jc w:val="center"/>
                              <w:rPr>
                                <w:color w:val="465E9C" w:themeColor="text2"/>
                                <w:sz w:val="20"/>
                              </w:rPr>
                            </w:pPr>
                            <w:r w:rsidRPr="00E03B8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85234" cy="266453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9329" cy="2689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0EF" w:rsidRPr="00600F2C" w:rsidRDefault="00DB0727" w:rsidP="00D050EF">
                            <w:pPr>
                              <w:pStyle w:val="Caption"/>
                              <w:spacing w:line="240" w:lineRule="auto"/>
                              <w:rPr>
                                <w:color w:val="465E9C" w:themeColor="text2"/>
                                <w:sz w:val="20"/>
                              </w:rPr>
                            </w:pPr>
                            <w:r w:rsidRPr="00F25D18">
                              <w:rPr>
                                <w:color w:val="465E9C" w:themeColor="text2"/>
                                <w:sz w:val="20"/>
                              </w:rPr>
                              <w:t>Figure</w:t>
                            </w:r>
                            <w:r w:rsidR="00D050EF" w:rsidRPr="00F25D18">
                              <w:rPr>
                                <w:color w:val="465E9C" w:themeColor="text2"/>
                                <w:sz w:val="20"/>
                              </w:rPr>
                              <w:t xml:space="preserve">: 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Notifications of </w:t>
                            </w:r>
                            <w:r w:rsidR="00D050EF" w:rsidRPr="00600F2C">
                              <w:rPr>
                                <w:i/>
                                <w:color w:val="465E9C" w:themeColor="text2"/>
                                <w:sz w:val="20"/>
                              </w:rPr>
                              <w:t>Salmonella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Typhimurium MLVA 03-17-09-12-523 in WA, 2016 to </w:t>
                            </w:r>
                            <w:r w:rsidR="00493E35">
                              <w:rPr>
                                <w:color w:val="465E9C" w:themeColor="text2"/>
                                <w:sz w:val="20"/>
                              </w:rPr>
                              <w:t>December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2019</w:t>
                            </w:r>
                          </w:p>
                          <w:p w:rsidR="00EC18A0" w:rsidRPr="0014114D" w:rsidRDefault="00EC18A0" w:rsidP="0087065F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5AB3" id="_x0000_s1034" type="#_x0000_t202" style="position:absolute;margin-left:0;margin-top:27.5pt;width:528.25pt;height:366.85pt;z-index:-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drRAIAAHQEAAAOAAAAZHJzL2Uyb0RvYy54bWysVMFu2zAMvQ/YPwi6r06CuEmMOkXXrsOA&#10;rhvQ7gMYWY6FSaImKbG7rx8lJ2m23YZdDImkHh8fSV9dD0azvfRBoa359GLCmbQCG2W3Nf/2fP9u&#10;yVmIYBvQaGXNX2Tg1+u3b656V8kZdqgb6RmB2FD1ruZdjK4qiiA6aSBcoJOWnC16A5Gufls0HnpC&#10;N7qYTSaXRY++cR6FDIGsd6OTrzN+20oRv7RtkJHpmhO3mL8+fzfpW6yvoNp6cJ0SBxrwDywMKEtJ&#10;T1B3EIHtvPoLyijhMWAbLwSaAttWCZlroGqmkz+qeerAyVwLiRPcSabw/2DF4/6rZ6qh3pE8Fgz1&#10;6FkOkb3Hgc2SPL0LFUU9OYqLA5kpNJca3AOK74FZvO3AbuWN99h3EhqiN00vi7OnI05IIJv+MzaU&#10;BnYRM9DQepO0IzUYoROPl1NrEhVBxsvFZLlYlJwJ8s0vy+VqVeYcUB2fOx/iR4mGpUPNPfU+w8P+&#10;IcREB6pjSMoWUKvmXmmdL2ne5K32bA80KXGY5ad6Z4jraKNpmxzmhcw0VaN5+WoG7ToYreXRSknz&#10;LCfsTOG3tNqyvuarclbmdBYTnzySRkXaC61MzXOGQ+Yk7wfb5JAISo9nSqLtQe8k8Sh2HDZD7uzy&#10;2MYNNi/UAI/jGtDa0qFD/5Oznlag5uHHDrzkTH+y1MTVdD5PO5Mv83Ixo4s/92zOPWAFQZF2nI3H&#10;25j3LMlr8Yaa3archjQVI5MDZRrtLM1hDdPunN9z1OvPYv0LAAD//wMAUEsDBBQABgAIAAAAIQCr&#10;swo92wAAAAgBAAAPAAAAZHJzL2Rvd25yZXYueG1sTI/BTsMwEETvSPyDtUjcqEMlt1GIU0WISnCk&#10;5cBxGy9JhL22YjcNf497gtNoNauZN/VucVbMNMXRs4bHVQGCuPNm5F7Dx3H/UIKICdmg9UwafijC&#10;rrm9qbEy/sLvNB9SL3IIxwo1DCmFSsrYDeQwrnwgzt6XnxymfE69NBNecrizcl0UG+lw5NwwYKDn&#10;gbrvw9lpmFoc18f4yuplH9pPXMJs6U3r+7ulfQKRaEl/z3DFz+jQZKaTP7OJwmrIQ5IGpbJe3UJt&#10;FIiThm1ZbkE2tfw/oPkFAAD//wMAUEsBAi0AFAAGAAgAAAAhALaDOJL+AAAA4QEAABMAAAAAAAAA&#10;AAAAAAAAAAAAAFtDb250ZW50X1R5cGVzXS54bWxQSwECLQAUAAYACAAAACEAOP0h/9YAAACUAQAA&#10;CwAAAAAAAAAAAAAAAAAvAQAAX3JlbHMvLnJlbHNQSwECLQAUAAYACAAAACEAGcVna0QCAAB0BAAA&#10;DgAAAAAAAAAAAAAAAAAuAgAAZHJzL2Uyb0RvYy54bWxQSwECLQAUAAYACAAAACEAq7MKPdsAAAAI&#10;AQAADwAAAAAAAAAAAAAAAACeBAAAZHJzL2Rvd25yZXYueG1sUEsFBgAAAAAEAAQA8wAAAKYFAAAA&#10;AA==&#10;" fillcolor="#d7dded [671]" stroked="f">
                <v:fill opacity="32896f"/>
                <v:textbox>
                  <w:txbxContent>
                    <w:p w:rsidR="00447A73" w:rsidRPr="00600F2C" w:rsidRDefault="00F16266" w:rsidP="0012565F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Key trends from Quarter </w:t>
                      </w:r>
                      <w:r w:rsidR="00C12474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4</w:t>
                      </w: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2019</w:t>
                      </w:r>
                    </w:p>
                    <w:p w:rsidR="00D050EF" w:rsidRPr="00931BD5" w:rsidRDefault="00D050EF" w:rsidP="0012565F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32"/>
                          <w:lang w:eastAsia="en-AU"/>
                        </w:rPr>
                      </w:pPr>
                    </w:p>
                    <w:p w:rsidR="00BB48D3" w:rsidRPr="00931BD5" w:rsidRDefault="00BB48D3" w:rsidP="00BB48D3">
                      <w:pPr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</w:pPr>
                      <w:r w:rsidRPr="00931BD5">
                        <w:rPr>
                          <w:rFonts w:eastAsia="Calibri" w:cs="Times New Roman"/>
                          <w:b/>
                          <w:i/>
                          <w:color w:val="465E9C"/>
                          <w:sz w:val="20"/>
                          <w:szCs w:val="20"/>
                        </w:rPr>
                        <w:t>Salmonella</w:t>
                      </w:r>
                      <w:r w:rsidRPr="00931BD5"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  <w:t xml:space="preserve"> Typhimurium (STM) MLVA</w:t>
                      </w:r>
                      <w:r w:rsidRPr="00C862D8">
                        <w:rPr>
                          <w:rFonts w:eastAsia="Calibri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00F2C">
                        <w:rPr>
                          <w:rFonts w:eastAsia="Calibri" w:cs="Times New Roman"/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03-17-09-12-523 </w:t>
                      </w:r>
                    </w:p>
                    <w:p w:rsidR="00BB48D3" w:rsidRPr="00627EBE" w:rsidRDefault="00BB48D3" w:rsidP="00BB48D3">
                      <w:pPr>
                        <w:rPr>
                          <w:rFonts w:eastAsia="Calibri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>STM MLVA 03-17-09-12-523 has been under investigation since the type emerged in September 2016. From September 20</w:t>
                      </w:r>
                      <w:r w:rsidR="00931BD5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16 to </w:t>
                      </w:r>
                      <w:r w:rsidR="00C12474">
                        <w:rPr>
                          <w:rFonts w:eastAsia="Calibri" w:cs="Times New Roman"/>
                          <w:sz w:val="20"/>
                          <w:szCs w:val="20"/>
                        </w:rPr>
                        <w:t>December</w:t>
                      </w:r>
                      <w:r w:rsidR="00931BD5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2019 there </w:t>
                      </w:r>
                      <w:r w:rsidR="00995323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>were 1</w:t>
                      </w:r>
                      <w:r w:rsidR="00FA076D">
                        <w:rPr>
                          <w:rFonts w:eastAsia="Calibri" w:cs="Times New Roman"/>
                          <w:sz w:val="20"/>
                          <w:szCs w:val="20"/>
                        </w:rPr>
                        <w:t>474</w:t>
                      </w: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notified</w:t>
                      </w:r>
                      <w:r w:rsidR="00931BD5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including </w:t>
                      </w:r>
                      <w:r w:rsidR="00FA076D">
                        <w:rPr>
                          <w:rFonts w:eastAsia="Calibri" w:cs="Times New Roman"/>
                          <w:sz w:val="20"/>
                          <w:szCs w:val="20"/>
                        </w:rPr>
                        <w:t>134</w:t>
                      </w:r>
                      <w:r w:rsidR="00995323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in </w:t>
                      </w:r>
                      <w:r w:rsidR="00793213">
                        <w:rPr>
                          <w:rFonts w:eastAsia="Calibri" w:cs="Times New Roman"/>
                          <w:sz w:val="20"/>
                          <w:szCs w:val="20"/>
                        </w:rPr>
                        <w:t>4</w:t>
                      </w: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>Q19. This MLVA type was the single mos</w:t>
                      </w:r>
                      <w:r w:rsidR="00600F2C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t common MLVA type notified in </w:t>
                      </w:r>
                      <w:r w:rsidR="007C4BE0">
                        <w:rPr>
                          <w:rFonts w:eastAsia="Calibri" w:cs="Times New Roman"/>
                          <w:sz w:val="20"/>
                          <w:szCs w:val="20"/>
                        </w:rPr>
                        <w:t>4</w:t>
                      </w: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Q19, constituting </w:t>
                      </w:r>
                      <w:r w:rsidR="007C4BE0">
                        <w:rPr>
                          <w:rFonts w:eastAsia="Calibri" w:cs="Arial"/>
                          <w:sz w:val="20"/>
                          <w:szCs w:val="20"/>
                        </w:rPr>
                        <w:t>39</w:t>
                      </w:r>
                      <w:r w:rsidRPr="00995323">
                        <w:rPr>
                          <w:rFonts w:eastAsia="Calibri" w:cs="Arial"/>
                          <w:sz w:val="20"/>
                          <w:szCs w:val="20"/>
                        </w:rPr>
                        <w:t>%</w:t>
                      </w: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STM notifications for the quarter. </w:t>
                      </w:r>
                      <w:r w:rsidR="00A31580" w:rsidRPr="005640D3">
                        <w:rPr>
                          <w:rFonts w:eastAsia="Calibri" w:cs="Times New Roman"/>
                          <w:sz w:val="20"/>
                          <w:szCs w:val="20"/>
                        </w:rPr>
                        <w:t>Two</w:t>
                      </w:r>
                      <w:r w:rsidR="00600F2C" w:rsidRPr="005640D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point source outbreaks</w:t>
                      </w:r>
                      <w:r w:rsidR="005640D3" w:rsidRPr="005640D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this MLVA type</w:t>
                      </w:r>
                      <w:r w:rsidR="00600F2C" w:rsidRPr="005640D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were identified in </w:t>
                      </w:r>
                      <w:r w:rsidR="005640D3" w:rsidRPr="005640D3">
                        <w:rPr>
                          <w:rFonts w:eastAsia="Calibri" w:cs="Times New Roman"/>
                          <w:sz w:val="20"/>
                          <w:szCs w:val="20"/>
                        </w:rPr>
                        <w:t>4</w:t>
                      </w:r>
                      <w:r w:rsidR="00600F2C" w:rsidRPr="005640D3">
                        <w:rPr>
                          <w:rFonts w:eastAsia="Calibri" w:cs="Times New Roman"/>
                          <w:sz w:val="20"/>
                          <w:szCs w:val="20"/>
                        </w:rPr>
                        <w:t>Q19.</w:t>
                      </w:r>
                      <w:r w:rsidR="00600F2C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31B74" w:rsidRDefault="00E03B81" w:rsidP="00E03B81">
                      <w:pPr>
                        <w:pStyle w:val="Caption"/>
                        <w:spacing w:line="240" w:lineRule="auto"/>
                        <w:jc w:val="center"/>
                        <w:rPr>
                          <w:color w:val="465E9C" w:themeColor="text2"/>
                          <w:sz w:val="20"/>
                        </w:rPr>
                      </w:pPr>
                      <w:r w:rsidRPr="00E03B81">
                        <w:rPr>
                          <w:noProof/>
                        </w:rPr>
                        <w:drawing>
                          <wp:inline distT="0" distB="0" distL="0" distR="0">
                            <wp:extent cx="5885234" cy="266453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9329" cy="2689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0EF" w:rsidRPr="00600F2C" w:rsidRDefault="00DB0727" w:rsidP="00D050EF">
                      <w:pPr>
                        <w:pStyle w:val="Caption"/>
                        <w:spacing w:line="240" w:lineRule="auto"/>
                        <w:rPr>
                          <w:color w:val="465E9C" w:themeColor="text2"/>
                          <w:sz w:val="20"/>
                        </w:rPr>
                      </w:pPr>
                      <w:r w:rsidRPr="00F25D18">
                        <w:rPr>
                          <w:color w:val="465E9C" w:themeColor="text2"/>
                          <w:sz w:val="20"/>
                        </w:rPr>
                        <w:t>Figure</w:t>
                      </w:r>
                      <w:r w:rsidR="00D050EF" w:rsidRPr="00F25D18">
                        <w:rPr>
                          <w:color w:val="465E9C" w:themeColor="text2"/>
                          <w:sz w:val="20"/>
                        </w:rPr>
                        <w:t xml:space="preserve">: 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Notifications of </w:t>
                      </w:r>
                      <w:r w:rsidR="00D050EF" w:rsidRPr="00600F2C">
                        <w:rPr>
                          <w:i/>
                          <w:color w:val="465E9C" w:themeColor="text2"/>
                          <w:sz w:val="20"/>
                        </w:rPr>
                        <w:t>Salmonella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Typhimurium MLVA 03-17-09-12-523 in WA, 2016 to </w:t>
                      </w:r>
                      <w:r w:rsidR="00493E35">
                        <w:rPr>
                          <w:color w:val="465E9C" w:themeColor="text2"/>
                          <w:sz w:val="20"/>
                        </w:rPr>
                        <w:t>December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2019</w:t>
                      </w:r>
                    </w:p>
                    <w:p w:rsidR="00EC18A0" w:rsidRPr="0014114D" w:rsidRDefault="00EC18A0" w:rsidP="0087065F">
                      <w:pPr>
                        <w:spacing w:line="36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6266" w:rsidRDefault="00F16266" w:rsidP="00F16266"/>
    <w:p w:rsidR="00286B46" w:rsidRDefault="00F16266" w:rsidP="00F16266">
      <w:pPr>
        <w:tabs>
          <w:tab w:val="left" w:pos="1861"/>
        </w:tabs>
      </w:pPr>
      <w:r>
        <w:tab/>
      </w:r>
    </w:p>
    <w:p w:rsidR="00286B46" w:rsidRPr="00286B46" w:rsidRDefault="00286B46" w:rsidP="00286B46"/>
    <w:p w:rsidR="00286B46" w:rsidRPr="00286B46" w:rsidRDefault="00286B46" w:rsidP="00286B46"/>
    <w:p w:rsidR="00286B46" w:rsidRDefault="00286B46" w:rsidP="00286B46"/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9342F3" w:rsidRDefault="009342F3" w:rsidP="00286B46">
      <w:pPr>
        <w:rPr>
          <w:b/>
          <w:color w:val="FF0000"/>
        </w:rPr>
      </w:pPr>
    </w:p>
    <w:p w:rsidR="0064090A" w:rsidRDefault="0064090A" w:rsidP="00286B46">
      <w:pPr>
        <w:rPr>
          <w:b/>
          <w:color w:val="FF0000"/>
        </w:rPr>
      </w:pPr>
    </w:p>
    <w:p w:rsidR="004C2780" w:rsidRDefault="004C2780" w:rsidP="00B62E68">
      <w:pPr>
        <w:rPr>
          <w:b/>
          <w:color w:val="FF0000"/>
        </w:rPr>
      </w:pPr>
    </w:p>
    <w:p w:rsidR="005D47ED" w:rsidRDefault="005D47ED" w:rsidP="00B62E68">
      <w:pPr>
        <w:rPr>
          <w:b/>
          <w:color w:val="FF0000"/>
        </w:rPr>
      </w:pPr>
    </w:p>
    <w:p w:rsidR="005D47ED" w:rsidRDefault="005D47ED" w:rsidP="00B62E68">
      <w:pPr>
        <w:rPr>
          <w:b/>
          <w:color w:val="FF0000"/>
        </w:rPr>
      </w:pPr>
    </w:p>
    <w:p w:rsidR="005D47ED" w:rsidRDefault="005D47ED" w:rsidP="00B62E68">
      <w:pPr>
        <w:rPr>
          <w:b/>
          <w:color w:val="FF0000"/>
        </w:rPr>
      </w:pPr>
    </w:p>
    <w:p w:rsidR="00A868F6" w:rsidRDefault="007164E4" w:rsidP="00B62E68">
      <w:pPr>
        <w:rPr>
          <w:b/>
          <w:color w:val="FF000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55E77" wp14:editId="0985BC0C">
                <wp:simplePos x="0" y="0"/>
                <wp:positionH relativeFrom="margin">
                  <wp:align>center</wp:align>
                </wp:positionH>
                <wp:positionV relativeFrom="paragraph">
                  <wp:posOffset>-260768</wp:posOffset>
                </wp:positionV>
                <wp:extent cx="6708775" cy="2947481"/>
                <wp:effectExtent l="0" t="0" r="0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94748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FF2" w:rsidRPr="0044132B" w:rsidRDefault="00EE3FF2" w:rsidP="00EE3FF2">
                            <w:pPr>
                              <w:pStyle w:val="Caption"/>
                              <w:spacing w:after="120" w:line="240" w:lineRule="auto"/>
                              <w:rPr>
                                <w:sz w:val="20"/>
                              </w:rPr>
                            </w:pPr>
                            <w:r w:rsidRPr="00AC2225">
                              <w:rPr>
                                <w:color w:val="465E9C" w:themeColor="text2"/>
                                <w:sz w:val="20"/>
                              </w:rPr>
                              <w:t>Travel associated infection</w:t>
                            </w:r>
                          </w:p>
                          <w:p w:rsidR="00EE3FF2" w:rsidRPr="00EE3FF2" w:rsidRDefault="00EE3FF2" w:rsidP="00EE3FF2">
                            <w:pPr>
                              <w:pStyle w:val="Caption"/>
                              <w:spacing w:line="240" w:lineRule="auto"/>
                              <w:rPr>
                                <w:b w:val="0"/>
                                <w:sz w:val="20"/>
                              </w:rPr>
                            </w:pPr>
                            <w:r w:rsidRPr="00EE3FF2">
                              <w:rPr>
                                <w:b w:val="0"/>
                                <w:sz w:val="20"/>
                              </w:rPr>
                              <w:t xml:space="preserve">Where place of acquisition was known, overseas acquisition was reported for 26% (n=338) of enteric disease notifications in the 4Q19: </w:t>
                            </w:r>
                          </w:p>
                          <w:p w:rsidR="00EE3FF2" w:rsidRPr="00EE3FF2" w:rsidRDefault="00EE3FF2" w:rsidP="005D47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E3FF2">
                              <w:rPr>
                                <w:sz w:val="20"/>
                                <w:szCs w:val="20"/>
                              </w:rPr>
                              <w:t>The most commonly reported country of acquisition was Indonesia (56%).</w:t>
                            </w:r>
                          </w:p>
                          <w:p w:rsidR="00ED02A8" w:rsidRPr="000102D1" w:rsidRDefault="0033705B" w:rsidP="005D47ED">
                            <w:pPr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>Shigella</w:t>
                            </w:r>
                          </w:p>
                          <w:p w:rsidR="00ED02A8" w:rsidRPr="00673365" w:rsidRDefault="0033705B" w:rsidP="009129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705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As of </w:t>
                            </w:r>
                            <w:proofErr w:type="gramStart"/>
                            <w:r w:rsidRPr="0033705B">
                              <w:rPr>
                                <w:rFonts w:cs="Arial"/>
                                <w:sz w:val="20"/>
                                <w:szCs w:val="20"/>
                              </w:rPr>
                              <w:t>1 July 2018</w:t>
                            </w:r>
                            <w:proofErr w:type="gramEnd"/>
                            <w:r w:rsidRPr="0033705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the national </w:t>
                            </w:r>
                            <w:r w:rsidRPr="0033705B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Shigella </w:t>
                            </w:r>
                            <w:r w:rsidRPr="0033705B">
                              <w:rPr>
                                <w:rFonts w:cs="Arial"/>
                                <w:sz w:val="20"/>
                                <w:szCs w:val="20"/>
                              </w:rPr>
                              <w:t>case definition changed to include notifications that are PCR positive as probable cases and culture positive notifications as confirmed cases</w:t>
                            </w:r>
                            <w:r w:rsidRPr="000239C3"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A300A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Previously, only culture positive cases were notified.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In the 4Q19 there were </w:t>
                            </w:r>
                            <w:r w:rsidR="00A300AF">
                              <w:rPr>
                                <w:rFonts w:cs="Arial"/>
                                <w:sz w:val="20"/>
                                <w:szCs w:val="20"/>
                              </w:rPr>
                              <w:t>46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probable and </w:t>
                            </w:r>
                            <w:r w:rsidR="00A300AF">
                              <w:rPr>
                                <w:rFonts w:cs="Arial"/>
                                <w:sz w:val="20"/>
                                <w:szCs w:val="20"/>
                              </w:rPr>
                              <w:t>47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confirmed cases.</w:t>
                            </w:r>
                            <w:r w:rsidR="00A300A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The inclusion of the probable cases is the predominant reason for the increase in </w:t>
                            </w:r>
                            <w:r w:rsidR="00A300AF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Shigella </w:t>
                            </w:r>
                            <w:r w:rsidR="00A300AF">
                              <w:rPr>
                                <w:rFonts w:cs="Arial"/>
                                <w:sz w:val="20"/>
                                <w:szCs w:val="20"/>
                              </w:rPr>
                              <w:t>compared to the five year mean.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29A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S. </w:t>
                            </w:r>
                            <w:proofErr w:type="spellStart"/>
                            <w:r w:rsidR="009129A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flexneri</w:t>
                            </w:r>
                            <w:proofErr w:type="spellEnd"/>
                            <w:r w:rsidR="009129AC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2B was the most commonly notified </w:t>
                            </w:r>
                            <w:r w:rsidR="009129A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Shigella </w:t>
                            </w:r>
                            <w:r w:rsidR="009129AC">
                              <w:rPr>
                                <w:rFonts w:cs="Arial"/>
                                <w:sz w:val="20"/>
                                <w:szCs w:val="20"/>
                              </w:rPr>
                              <w:t>type in the 4Q19</w:t>
                            </w:r>
                            <w:r w:rsidR="005C7CA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(n=18</w:t>
                            </w:r>
                            <w:r w:rsidR="00227495">
                              <w:rPr>
                                <w:rFonts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67336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. There has been a sustained increase in this </w:t>
                            </w:r>
                            <w:r w:rsidR="0067336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Shigella </w:t>
                            </w:r>
                            <w:r w:rsidR="00673365">
                              <w:rPr>
                                <w:rFonts w:cs="Arial"/>
                                <w:sz w:val="20"/>
                                <w:szCs w:val="20"/>
                              </w:rPr>
                              <w:t>type since April 2017 in Aboriginal communities in WA, NT and SA.</w:t>
                            </w:r>
                          </w:p>
                          <w:p w:rsidR="00E26D2C" w:rsidRPr="00760107" w:rsidRDefault="00E26D2C" w:rsidP="005D47E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55D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Shiga toxin producing </w:t>
                            </w:r>
                            <w:r w:rsidRPr="002255D7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E. coli </w:t>
                            </w:r>
                            <w:r w:rsidRPr="002255D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(STEC)</w:t>
                            </w:r>
                          </w:p>
                          <w:p w:rsidR="0066016D" w:rsidRPr="00942C9D" w:rsidRDefault="00C3024C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B85D3B">
                              <w:rPr>
                                <w:sz w:val="20"/>
                                <w:szCs w:val="20"/>
                              </w:rPr>
                              <w:t>wenty eight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132B" w:rsidRPr="00760107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44132B" w:rsidRPr="00760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5E38"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  <w:r w:rsidR="005D47ED" w:rsidRPr="00760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5233" w:rsidRPr="00760107">
                              <w:rPr>
                                <w:sz w:val="20"/>
                                <w:szCs w:val="20"/>
                              </w:rPr>
                              <w:t>notifications were culture</w:t>
                            </w:r>
                            <w:r w:rsidR="005D47ED" w:rsidRPr="00760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697" w:rsidRPr="00760107">
                              <w:rPr>
                                <w:sz w:val="20"/>
                                <w:szCs w:val="20"/>
                              </w:rPr>
                              <w:t>positive</w:t>
                            </w:r>
                            <w:r w:rsidR="005D47ED" w:rsidRPr="00760107">
                              <w:rPr>
                                <w:sz w:val="20"/>
                                <w:szCs w:val="20"/>
                              </w:rPr>
                              <w:t>, the mos</w:t>
                            </w:r>
                            <w:r w:rsidR="00B90697" w:rsidRPr="00760107">
                              <w:rPr>
                                <w:sz w:val="20"/>
                                <w:szCs w:val="20"/>
                              </w:rPr>
                              <w:t>t common serotype</w:t>
                            </w:r>
                            <w:r w:rsidR="00784309" w:rsidRPr="00760107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B04133" w:rsidRPr="00760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4C2" w:rsidRPr="00760107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784309" w:rsidRPr="00760107">
                              <w:rPr>
                                <w:sz w:val="20"/>
                                <w:szCs w:val="20"/>
                              </w:rPr>
                              <w:t>ere</w:t>
                            </w:r>
                            <w:r w:rsidR="00B044C2" w:rsidRPr="007601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29AC" w:rsidRPr="00760107">
                              <w:rPr>
                                <w:sz w:val="20"/>
                                <w:szCs w:val="20"/>
                              </w:rPr>
                              <w:t>O157:H7 (n=</w:t>
                            </w:r>
                            <w:r w:rsidR="009129AC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9129AC" w:rsidRPr="0076010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9129A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044C2" w:rsidRPr="00760107">
                              <w:rPr>
                                <w:sz w:val="20"/>
                                <w:szCs w:val="20"/>
                              </w:rPr>
                              <w:t>O128</w:t>
                            </w:r>
                            <w:r w:rsidR="00D92EE3" w:rsidRPr="00760107">
                              <w:rPr>
                                <w:sz w:val="20"/>
                                <w:szCs w:val="20"/>
                              </w:rPr>
                              <w:t>:H2</w:t>
                            </w:r>
                            <w:r w:rsidR="00760107" w:rsidRPr="00760107">
                              <w:rPr>
                                <w:sz w:val="20"/>
                                <w:szCs w:val="20"/>
                              </w:rPr>
                              <w:t xml:space="preserve"> (n=</w:t>
                            </w:r>
                            <w:r w:rsidR="0072163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04133" w:rsidRPr="0076010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784309" w:rsidRPr="00760107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9129AC">
                              <w:rPr>
                                <w:sz w:val="20"/>
                                <w:szCs w:val="20"/>
                              </w:rPr>
                              <w:t xml:space="preserve"> O26:H11 (n=3)</w:t>
                            </w:r>
                            <w:r w:rsidR="005D47ED" w:rsidRPr="00760107">
                              <w:rPr>
                                <w:sz w:val="20"/>
                                <w:szCs w:val="20"/>
                              </w:rPr>
                              <w:t xml:space="preserve">. No point </w:t>
                            </w:r>
                            <w:r w:rsidR="005D47ED" w:rsidRPr="00C47BA2">
                              <w:rPr>
                                <w:sz w:val="20"/>
                                <w:szCs w:val="20"/>
                              </w:rPr>
                              <w:t>source outbreaks were identified</w:t>
                            </w:r>
                            <w:r w:rsidR="00D90AC2" w:rsidRPr="00C47BA2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9129A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D90AC2" w:rsidRPr="00C47BA2">
                              <w:rPr>
                                <w:sz w:val="20"/>
                                <w:szCs w:val="20"/>
                              </w:rPr>
                              <w:t>Q19</w:t>
                            </w:r>
                            <w:r w:rsidR="005D47ED" w:rsidRPr="00C47BA2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84309" w:rsidRPr="00942C9D">
                              <w:rPr>
                                <w:sz w:val="20"/>
                                <w:szCs w:val="20"/>
                              </w:rPr>
                              <w:t xml:space="preserve">Some of the </w:t>
                            </w:r>
                            <w:r w:rsidR="005D47ED" w:rsidRPr="00942C9D">
                              <w:rPr>
                                <w:sz w:val="20"/>
                                <w:szCs w:val="20"/>
                              </w:rPr>
                              <w:t xml:space="preserve">increase is likely due </w:t>
                            </w:r>
                            <w:r w:rsidR="000102D1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="005D47ED" w:rsidRPr="00942C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697" w:rsidRPr="00942C9D">
                              <w:rPr>
                                <w:sz w:val="20"/>
                                <w:szCs w:val="20"/>
                              </w:rPr>
                              <w:t xml:space="preserve">PCR </w:t>
                            </w:r>
                            <w:r w:rsidR="005D47ED" w:rsidRPr="00942C9D">
                              <w:rPr>
                                <w:sz w:val="20"/>
                                <w:szCs w:val="20"/>
                              </w:rPr>
                              <w:t xml:space="preserve">testing by one private </w:t>
                            </w:r>
                            <w:r w:rsidR="00B90697" w:rsidRPr="00942C9D">
                              <w:rPr>
                                <w:sz w:val="20"/>
                                <w:szCs w:val="20"/>
                              </w:rPr>
                              <w:t>laboratory</w:t>
                            </w:r>
                            <w:r w:rsidR="006414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656">
                              <w:rPr>
                                <w:sz w:val="20"/>
                                <w:szCs w:val="20"/>
                              </w:rPr>
                              <w:t>since</w:t>
                            </w:r>
                            <w:r w:rsidR="00784309" w:rsidRPr="00942C9D">
                              <w:rPr>
                                <w:sz w:val="20"/>
                                <w:szCs w:val="20"/>
                              </w:rPr>
                              <w:t xml:space="preserve"> the fourth quarter</w:t>
                            </w:r>
                            <w:r w:rsidR="006414C7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784309" w:rsidRPr="00942C9D">
                              <w:rPr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 w:rsidR="005D47ED" w:rsidRPr="00942C9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D02A8" w:rsidRDefault="00ED02A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02A8" w:rsidRDefault="00ED02A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D02A8" w:rsidRDefault="00ED02A8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600F2C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600F2C" w:rsidRPr="00627EBE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64799B" w:rsidRPr="0064799B" w:rsidRDefault="0064799B" w:rsidP="005D47E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5E77" id="_x0000_s1035" type="#_x0000_t202" style="position:absolute;margin-left:0;margin-top:-20.55pt;width:528.25pt;height:232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SURAIAAHQEAAAOAAAAZHJzL2Uyb0RvYy54bWysVFFv0zAQfkfiP1h+Z2mjdm2jpdPYGEIa&#10;A2njB1wdp7GwfcZ2m4xfz9lpuwJviJfIPp+/+/x9d7m6Hoxme+mDQlvz6cWEM2kFNspua/7t+f7d&#10;krMQwTag0cqav8jAr9dv31z1rpIldqgb6RmB2FD1ruZdjK4qiiA6aSBcoJOWDlv0BiJt/bZoPPSE&#10;bnRRTiaXRY++cR6FDIGid+MhX2f8tpUifmnbICPTNSduMX99/m7St1hfQbX14DolDjTgH1gYUJaK&#10;nqDuIALbefUXlFHCY8A2Xgg0BbatEjK/gV4znfzxmqcOnMxvIXGCO8kU/h+seNx/9Uw15F3JmQVD&#10;Hj3LIbL3OLAyydO7UFHWk6O8OFCYUvNTg3tA8T0wi7cd2K288R77TkJD9KbpZnF2dcQJCWTTf8aG&#10;ysAuYgYaWm+SdqQGI3Sy6eVkTaIiKHi5mCwXizlngs7K1WwxW441oDpedz7EjxINS4uae/I+w8P+&#10;IcREB6pjSqoWUKvmXmmdN6nf5K32bA/UKXEo81W9M8R1jFG3TQ79QmHqqjG8fA2Ddh2M0fkxSkVz&#10;LyfsTOG3stqyvuareTnP5SwmPrkljYo0F1qZmucKh8pJ3g+2ySkRlB7XVETbg95J4lHsOGyG7Ozq&#10;aOMGmxcywOM4BjS2tOjQ/+SspxGoefixAy85058smbiazmZpZvJmNl+UtPHnJ5vzE7CCoEg7zsbl&#10;bcxzluS1eENmtyrbkLpiZHKgTK2dpTmMYZqd833Oev1ZrH8BAAD//wMAUEsDBBQABgAIAAAAIQDE&#10;4IHI3AAAAAkBAAAPAAAAZHJzL2Rvd25yZXYueG1sTI/BTsMwEETvSPyDtUjcWiehqVCIU0WISnCk&#10;5cBxGy9JhL22YjcNf497guNoRjNv6t1ijZhpCqNjBfk6A0HcOT1yr+DjuF89gggRWaNxTAp+KMCu&#10;ub2psdLuwu80H2IvUgmHChUMMfpKytANZDGsnSdO3pebLMYkp17qCS+p3BpZZNlWWhw5LQzo6Xmg&#10;7vtwtgqmFsfiGF65fNn79hMXPxt6U+r+bmmfQERa4l8YrvgJHZrEdHJn1kEYBelIVLDa5DmIq52V&#10;2xLEScGmeMhBNrX8/6D5BQAA//8DAFBLAQItABQABgAIAAAAIQC2gziS/gAAAOEBAAATAAAAAAAA&#10;AAAAAAAAAAAAAABbQ29udGVudF9UeXBlc10ueG1sUEsBAi0AFAAGAAgAAAAhADj9If/WAAAAlAEA&#10;AAsAAAAAAAAAAAAAAAAALwEAAF9yZWxzLy5yZWxzUEsBAi0AFAAGAAgAAAAhAA2N5JREAgAAdAQA&#10;AA4AAAAAAAAAAAAAAAAALgIAAGRycy9lMm9Eb2MueG1sUEsBAi0AFAAGAAgAAAAhAMTggcjcAAAA&#10;CQEAAA8AAAAAAAAAAAAAAAAAngQAAGRycy9kb3ducmV2LnhtbFBLBQYAAAAABAAEAPMAAACnBQAA&#10;AAA=&#10;" fillcolor="#d7dded [671]" stroked="f">
                <v:fill opacity="32896f"/>
                <v:textbox>
                  <w:txbxContent>
                    <w:p w:rsidR="00EE3FF2" w:rsidRPr="0044132B" w:rsidRDefault="00EE3FF2" w:rsidP="00EE3FF2">
                      <w:pPr>
                        <w:pStyle w:val="Caption"/>
                        <w:spacing w:after="120" w:line="240" w:lineRule="auto"/>
                        <w:rPr>
                          <w:sz w:val="20"/>
                        </w:rPr>
                      </w:pPr>
                      <w:r w:rsidRPr="00AC2225">
                        <w:rPr>
                          <w:color w:val="465E9C" w:themeColor="text2"/>
                          <w:sz w:val="20"/>
                        </w:rPr>
                        <w:t>Travel associated infection</w:t>
                      </w:r>
                    </w:p>
                    <w:p w:rsidR="00EE3FF2" w:rsidRPr="00EE3FF2" w:rsidRDefault="00EE3FF2" w:rsidP="00EE3FF2">
                      <w:pPr>
                        <w:pStyle w:val="Caption"/>
                        <w:spacing w:line="240" w:lineRule="auto"/>
                        <w:rPr>
                          <w:b w:val="0"/>
                          <w:sz w:val="20"/>
                        </w:rPr>
                      </w:pPr>
                      <w:r w:rsidRPr="00EE3FF2">
                        <w:rPr>
                          <w:b w:val="0"/>
                          <w:sz w:val="20"/>
                        </w:rPr>
                        <w:t xml:space="preserve">Where place of acquisition was known, overseas acquisition was reported for 26% (n=338) of enteric disease notifications in the 4Q19: </w:t>
                      </w:r>
                    </w:p>
                    <w:p w:rsidR="00EE3FF2" w:rsidRPr="00EE3FF2" w:rsidRDefault="00EE3FF2" w:rsidP="005D47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EE3FF2">
                        <w:rPr>
                          <w:sz w:val="20"/>
                          <w:szCs w:val="20"/>
                        </w:rPr>
                        <w:t>The most commonly reported country of acquisition was Indonesia (56%).</w:t>
                      </w:r>
                    </w:p>
                    <w:p w:rsidR="00ED02A8" w:rsidRPr="000102D1" w:rsidRDefault="0033705B" w:rsidP="005D47ED">
                      <w:pPr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>Shigella</w:t>
                      </w:r>
                    </w:p>
                    <w:p w:rsidR="00ED02A8" w:rsidRPr="00673365" w:rsidRDefault="0033705B" w:rsidP="009129AC">
                      <w:pPr>
                        <w:rPr>
                          <w:sz w:val="20"/>
                          <w:szCs w:val="20"/>
                        </w:rPr>
                      </w:pPr>
                      <w:r w:rsidRPr="0033705B">
                        <w:rPr>
                          <w:rFonts w:cs="Arial"/>
                          <w:sz w:val="20"/>
                          <w:szCs w:val="20"/>
                        </w:rPr>
                        <w:t xml:space="preserve">As of </w:t>
                      </w:r>
                      <w:proofErr w:type="gramStart"/>
                      <w:r w:rsidRPr="0033705B">
                        <w:rPr>
                          <w:rFonts w:cs="Arial"/>
                          <w:sz w:val="20"/>
                          <w:szCs w:val="20"/>
                        </w:rPr>
                        <w:t>1 July 2018</w:t>
                      </w:r>
                      <w:proofErr w:type="gramEnd"/>
                      <w:r w:rsidRPr="0033705B">
                        <w:rPr>
                          <w:rFonts w:cs="Arial"/>
                          <w:sz w:val="20"/>
                          <w:szCs w:val="20"/>
                        </w:rPr>
                        <w:t xml:space="preserve"> the national </w:t>
                      </w:r>
                      <w:r w:rsidRPr="0033705B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Shigella </w:t>
                      </w:r>
                      <w:r w:rsidRPr="0033705B">
                        <w:rPr>
                          <w:rFonts w:cs="Arial"/>
                          <w:sz w:val="20"/>
                          <w:szCs w:val="20"/>
                        </w:rPr>
                        <w:t>case definition changed to include notifications that are PCR positive as probable cases and culture positive notifications as confirmed cases</w:t>
                      </w:r>
                      <w:r w:rsidRPr="000239C3">
                        <w:rPr>
                          <w:rFonts w:cs="Arial"/>
                        </w:rPr>
                        <w:t xml:space="preserve">. </w:t>
                      </w:r>
                      <w:r w:rsidR="00A300AF">
                        <w:rPr>
                          <w:rFonts w:cs="Arial"/>
                          <w:sz w:val="20"/>
                          <w:szCs w:val="20"/>
                        </w:rPr>
                        <w:t xml:space="preserve">Previously, only culture positive cases were notified.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In the 4Q19 there were </w:t>
                      </w:r>
                      <w:r w:rsidR="00A300AF">
                        <w:rPr>
                          <w:rFonts w:cs="Arial"/>
                          <w:sz w:val="20"/>
                          <w:szCs w:val="20"/>
                        </w:rPr>
                        <w:t>46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probable and </w:t>
                      </w:r>
                      <w:r w:rsidR="00A300AF">
                        <w:rPr>
                          <w:rFonts w:cs="Arial"/>
                          <w:sz w:val="20"/>
                          <w:szCs w:val="20"/>
                        </w:rPr>
                        <w:t>47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confirmed cases.</w:t>
                      </w:r>
                      <w:r w:rsidR="00A300AF">
                        <w:rPr>
                          <w:rFonts w:cs="Arial"/>
                          <w:sz w:val="20"/>
                          <w:szCs w:val="20"/>
                        </w:rPr>
                        <w:t xml:space="preserve"> The inclusion of the probable cases is the predominant reason for the increase in </w:t>
                      </w:r>
                      <w:r w:rsidR="00A300AF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Shigella </w:t>
                      </w:r>
                      <w:r w:rsidR="00A300AF">
                        <w:rPr>
                          <w:rFonts w:cs="Arial"/>
                          <w:sz w:val="20"/>
                          <w:szCs w:val="20"/>
                        </w:rPr>
                        <w:t>compared to the five year mean.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9129AC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S. </w:t>
                      </w:r>
                      <w:proofErr w:type="spellStart"/>
                      <w:r w:rsidR="009129AC">
                        <w:rPr>
                          <w:rFonts w:cs="Arial"/>
                          <w:i/>
                          <w:sz w:val="20"/>
                          <w:szCs w:val="20"/>
                        </w:rPr>
                        <w:t>flexneri</w:t>
                      </w:r>
                      <w:proofErr w:type="spellEnd"/>
                      <w:r w:rsidR="009129AC">
                        <w:rPr>
                          <w:rFonts w:cs="Arial"/>
                          <w:sz w:val="20"/>
                          <w:szCs w:val="20"/>
                        </w:rPr>
                        <w:t xml:space="preserve"> 2B was the most commonly notified </w:t>
                      </w:r>
                      <w:r w:rsidR="009129AC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Shigella </w:t>
                      </w:r>
                      <w:r w:rsidR="009129AC">
                        <w:rPr>
                          <w:rFonts w:cs="Arial"/>
                          <w:sz w:val="20"/>
                          <w:szCs w:val="20"/>
                        </w:rPr>
                        <w:t>type in the 4Q19</w:t>
                      </w:r>
                      <w:r w:rsidR="005C7CA8">
                        <w:rPr>
                          <w:rFonts w:cs="Arial"/>
                          <w:sz w:val="20"/>
                          <w:szCs w:val="20"/>
                        </w:rPr>
                        <w:t xml:space="preserve"> (n=18</w:t>
                      </w:r>
                      <w:r w:rsidR="00227495">
                        <w:rPr>
                          <w:rFonts w:cs="Arial"/>
                          <w:sz w:val="20"/>
                          <w:szCs w:val="20"/>
                        </w:rPr>
                        <w:t>)</w:t>
                      </w:r>
                      <w:r w:rsidR="00673365">
                        <w:rPr>
                          <w:rFonts w:cs="Arial"/>
                          <w:sz w:val="20"/>
                          <w:szCs w:val="20"/>
                        </w:rPr>
                        <w:t xml:space="preserve">. There has been a sustained increase in this </w:t>
                      </w:r>
                      <w:r w:rsidR="0067336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Shigella </w:t>
                      </w:r>
                      <w:r w:rsidR="00673365">
                        <w:rPr>
                          <w:rFonts w:cs="Arial"/>
                          <w:sz w:val="20"/>
                          <w:szCs w:val="20"/>
                        </w:rPr>
                        <w:t>type since April 2017 in Aboriginal communities in WA, NT and SA.</w:t>
                      </w:r>
                    </w:p>
                    <w:p w:rsidR="00E26D2C" w:rsidRPr="00760107" w:rsidRDefault="00E26D2C" w:rsidP="005D47E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255D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Shiga toxin producing </w:t>
                      </w:r>
                      <w:r w:rsidRPr="002255D7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 xml:space="preserve">E. coli </w:t>
                      </w:r>
                      <w:r w:rsidRPr="002255D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(STEC)</w:t>
                      </w:r>
                    </w:p>
                    <w:p w:rsidR="0066016D" w:rsidRPr="00942C9D" w:rsidRDefault="00C3024C" w:rsidP="005D47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B85D3B">
                        <w:rPr>
                          <w:sz w:val="20"/>
                          <w:szCs w:val="20"/>
                        </w:rPr>
                        <w:t>wenty eight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4132B" w:rsidRPr="00760107"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="0044132B" w:rsidRPr="00760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15E38">
                        <w:rPr>
                          <w:sz w:val="20"/>
                          <w:szCs w:val="20"/>
                        </w:rPr>
                        <w:t>42</w:t>
                      </w:r>
                      <w:r w:rsidR="005D47ED" w:rsidRPr="00760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5233" w:rsidRPr="00760107">
                        <w:rPr>
                          <w:sz w:val="20"/>
                          <w:szCs w:val="20"/>
                        </w:rPr>
                        <w:t>notifications were culture</w:t>
                      </w:r>
                      <w:r w:rsidR="005D47ED" w:rsidRPr="00760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0697" w:rsidRPr="00760107">
                        <w:rPr>
                          <w:sz w:val="20"/>
                          <w:szCs w:val="20"/>
                        </w:rPr>
                        <w:t>positive</w:t>
                      </w:r>
                      <w:r w:rsidR="005D47ED" w:rsidRPr="00760107">
                        <w:rPr>
                          <w:sz w:val="20"/>
                          <w:szCs w:val="20"/>
                        </w:rPr>
                        <w:t>, the mos</w:t>
                      </w:r>
                      <w:r w:rsidR="00B90697" w:rsidRPr="00760107">
                        <w:rPr>
                          <w:sz w:val="20"/>
                          <w:szCs w:val="20"/>
                        </w:rPr>
                        <w:t>t common serotype</w:t>
                      </w:r>
                      <w:r w:rsidR="00784309" w:rsidRPr="00760107">
                        <w:rPr>
                          <w:sz w:val="20"/>
                          <w:szCs w:val="20"/>
                        </w:rPr>
                        <w:t>s</w:t>
                      </w:r>
                      <w:r w:rsidR="00B04133" w:rsidRPr="00760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44C2" w:rsidRPr="00760107">
                        <w:rPr>
                          <w:sz w:val="20"/>
                          <w:szCs w:val="20"/>
                        </w:rPr>
                        <w:t>w</w:t>
                      </w:r>
                      <w:r w:rsidR="00784309" w:rsidRPr="00760107">
                        <w:rPr>
                          <w:sz w:val="20"/>
                          <w:szCs w:val="20"/>
                        </w:rPr>
                        <w:t>ere</w:t>
                      </w:r>
                      <w:r w:rsidR="00B044C2" w:rsidRPr="007601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129AC" w:rsidRPr="00760107">
                        <w:rPr>
                          <w:sz w:val="20"/>
                          <w:szCs w:val="20"/>
                        </w:rPr>
                        <w:t>O157:H7 (n=</w:t>
                      </w:r>
                      <w:r w:rsidR="009129AC">
                        <w:rPr>
                          <w:sz w:val="20"/>
                          <w:szCs w:val="20"/>
                        </w:rPr>
                        <w:t>8</w:t>
                      </w:r>
                      <w:r w:rsidR="009129AC" w:rsidRPr="00760107">
                        <w:rPr>
                          <w:sz w:val="20"/>
                          <w:szCs w:val="20"/>
                        </w:rPr>
                        <w:t>)</w:t>
                      </w:r>
                      <w:r w:rsidR="009129AC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044C2" w:rsidRPr="00760107">
                        <w:rPr>
                          <w:sz w:val="20"/>
                          <w:szCs w:val="20"/>
                        </w:rPr>
                        <w:t>O128</w:t>
                      </w:r>
                      <w:r w:rsidR="00D92EE3" w:rsidRPr="00760107">
                        <w:rPr>
                          <w:sz w:val="20"/>
                          <w:szCs w:val="20"/>
                        </w:rPr>
                        <w:t>:H2</w:t>
                      </w:r>
                      <w:r w:rsidR="00760107" w:rsidRPr="00760107">
                        <w:rPr>
                          <w:sz w:val="20"/>
                          <w:szCs w:val="20"/>
                        </w:rPr>
                        <w:t xml:space="preserve"> (n=</w:t>
                      </w:r>
                      <w:r w:rsidR="00721635">
                        <w:rPr>
                          <w:sz w:val="20"/>
                          <w:szCs w:val="20"/>
                        </w:rPr>
                        <w:t>3</w:t>
                      </w:r>
                      <w:r w:rsidR="00B04133" w:rsidRPr="00760107">
                        <w:rPr>
                          <w:sz w:val="20"/>
                          <w:szCs w:val="20"/>
                        </w:rPr>
                        <w:t>)</w:t>
                      </w:r>
                      <w:r w:rsidR="00784309" w:rsidRPr="00760107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="009129AC">
                        <w:rPr>
                          <w:sz w:val="20"/>
                          <w:szCs w:val="20"/>
                        </w:rPr>
                        <w:t xml:space="preserve"> O26:H11 (n=3)</w:t>
                      </w:r>
                      <w:r w:rsidR="005D47ED" w:rsidRPr="00760107">
                        <w:rPr>
                          <w:sz w:val="20"/>
                          <w:szCs w:val="20"/>
                        </w:rPr>
                        <w:t xml:space="preserve">. No point </w:t>
                      </w:r>
                      <w:r w:rsidR="005D47ED" w:rsidRPr="00C47BA2">
                        <w:rPr>
                          <w:sz w:val="20"/>
                          <w:szCs w:val="20"/>
                        </w:rPr>
                        <w:t>source outbreaks were identified</w:t>
                      </w:r>
                      <w:r w:rsidR="00D90AC2" w:rsidRPr="00C47BA2">
                        <w:rPr>
                          <w:sz w:val="20"/>
                          <w:szCs w:val="20"/>
                        </w:rPr>
                        <w:t xml:space="preserve"> in </w:t>
                      </w:r>
                      <w:r w:rsidR="009129AC">
                        <w:rPr>
                          <w:sz w:val="20"/>
                          <w:szCs w:val="20"/>
                        </w:rPr>
                        <w:t>4</w:t>
                      </w:r>
                      <w:r w:rsidR="00D90AC2" w:rsidRPr="00C47BA2">
                        <w:rPr>
                          <w:sz w:val="20"/>
                          <w:szCs w:val="20"/>
                        </w:rPr>
                        <w:t>Q19</w:t>
                      </w:r>
                      <w:r w:rsidR="005D47ED" w:rsidRPr="00C47BA2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784309" w:rsidRPr="00942C9D">
                        <w:rPr>
                          <w:sz w:val="20"/>
                          <w:szCs w:val="20"/>
                        </w:rPr>
                        <w:t xml:space="preserve">Some of the </w:t>
                      </w:r>
                      <w:r w:rsidR="005D47ED" w:rsidRPr="00942C9D">
                        <w:rPr>
                          <w:sz w:val="20"/>
                          <w:szCs w:val="20"/>
                        </w:rPr>
                        <w:t xml:space="preserve">increase is likely due </w:t>
                      </w:r>
                      <w:r w:rsidR="000102D1">
                        <w:rPr>
                          <w:sz w:val="20"/>
                          <w:szCs w:val="20"/>
                        </w:rPr>
                        <w:t>to</w:t>
                      </w:r>
                      <w:r w:rsidR="005D47ED" w:rsidRPr="00942C9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0697" w:rsidRPr="00942C9D">
                        <w:rPr>
                          <w:sz w:val="20"/>
                          <w:szCs w:val="20"/>
                        </w:rPr>
                        <w:t xml:space="preserve">PCR </w:t>
                      </w:r>
                      <w:r w:rsidR="005D47ED" w:rsidRPr="00942C9D">
                        <w:rPr>
                          <w:sz w:val="20"/>
                          <w:szCs w:val="20"/>
                        </w:rPr>
                        <w:t xml:space="preserve">testing by one private </w:t>
                      </w:r>
                      <w:r w:rsidR="00B90697" w:rsidRPr="00942C9D">
                        <w:rPr>
                          <w:sz w:val="20"/>
                          <w:szCs w:val="20"/>
                        </w:rPr>
                        <w:t>laboratory</w:t>
                      </w:r>
                      <w:r w:rsidR="006414C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1656">
                        <w:rPr>
                          <w:sz w:val="20"/>
                          <w:szCs w:val="20"/>
                        </w:rPr>
                        <w:t>since</w:t>
                      </w:r>
                      <w:r w:rsidR="00784309" w:rsidRPr="00942C9D">
                        <w:rPr>
                          <w:sz w:val="20"/>
                          <w:szCs w:val="20"/>
                        </w:rPr>
                        <w:t xml:space="preserve"> the fourth quarter</w:t>
                      </w:r>
                      <w:r w:rsidR="006414C7">
                        <w:rPr>
                          <w:sz w:val="20"/>
                          <w:szCs w:val="20"/>
                        </w:rPr>
                        <w:t xml:space="preserve"> of</w:t>
                      </w:r>
                      <w:r w:rsidR="00784309" w:rsidRPr="00942C9D">
                        <w:rPr>
                          <w:sz w:val="20"/>
                          <w:szCs w:val="20"/>
                        </w:rPr>
                        <w:t xml:space="preserve"> 2018</w:t>
                      </w:r>
                      <w:r w:rsidR="005D47ED" w:rsidRPr="00942C9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D02A8" w:rsidRDefault="00ED02A8" w:rsidP="005D47E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D02A8" w:rsidRDefault="00ED02A8" w:rsidP="005D47E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D02A8" w:rsidRDefault="00ED02A8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600F2C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600F2C" w:rsidRPr="00627EBE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64799B" w:rsidRPr="0064799B" w:rsidRDefault="0064799B" w:rsidP="005D47E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0727" w:rsidRDefault="00DB0727" w:rsidP="00B62E68">
      <w:pPr>
        <w:rPr>
          <w:b/>
          <w:color w:val="FF0000"/>
        </w:rPr>
      </w:pPr>
    </w:p>
    <w:p w:rsidR="00DB0727" w:rsidRPr="00DB0727" w:rsidRDefault="00DB0727" w:rsidP="00DB0727"/>
    <w:p w:rsidR="00DB0727" w:rsidRPr="00DB0727" w:rsidRDefault="00DB0727" w:rsidP="00DB0727"/>
    <w:p w:rsidR="00DB0727" w:rsidRDefault="00DB0727" w:rsidP="00DB0727"/>
    <w:p w:rsidR="00D173B1" w:rsidRPr="00DB0727" w:rsidRDefault="00D173B1" w:rsidP="00DB0727"/>
    <w:p w:rsidR="00DB0727" w:rsidRPr="00DB0727" w:rsidRDefault="00DB0727" w:rsidP="00DB0727"/>
    <w:p w:rsidR="00DB0727" w:rsidRPr="00DB0727" w:rsidRDefault="00DB0727" w:rsidP="00DB0727"/>
    <w:p w:rsidR="00DB0727" w:rsidRPr="00DB0727" w:rsidRDefault="00DB0727" w:rsidP="00DB0727"/>
    <w:p w:rsidR="005D47ED" w:rsidRPr="00DB0727" w:rsidRDefault="005D47ED" w:rsidP="00DB0727">
      <w:pPr>
        <w:tabs>
          <w:tab w:val="left" w:pos="1753"/>
        </w:tabs>
      </w:pPr>
    </w:p>
    <w:sectPr w:rsidR="005D47ED" w:rsidRPr="00DB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266" w:rsidRDefault="00F16266" w:rsidP="00F16266">
      <w:pPr>
        <w:spacing w:after="0"/>
      </w:pPr>
      <w:r>
        <w:separator/>
      </w:r>
    </w:p>
  </w:endnote>
  <w:endnote w:type="continuationSeparator" w:id="0">
    <w:p w:rsidR="00F16266" w:rsidRDefault="00F16266" w:rsidP="00F16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266" w:rsidRDefault="00F16266" w:rsidP="00F16266">
      <w:pPr>
        <w:spacing w:after="0"/>
      </w:pPr>
      <w:r>
        <w:separator/>
      </w:r>
    </w:p>
  </w:footnote>
  <w:footnote w:type="continuationSeparator" w:id="0">
    <w:p w:rsidR="00F16266" w:rsidRDefault="00F16266" w:rsidP="00F16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C32"/>
    <w:multiLevelType w:val="hybridMultilevel"/>
    <w:tmpl w:val="10D4FB6A"/>
    <w:lvl w:ilvl="0" w:tplc="EDB00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603"/>
    <w:multiLevelType w:val="hybridMultilevel"/>
    <w:tmpl w:val="2D30E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02E"/>
    <w:multiLevelType w:val="hybridMultilevel"/>
    <w:tmpl w:val="AF889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55E54"/>
    <w:multiLevelType w:val="hybridMultilevel"/>
    <w:tmpl w:val="34089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DA023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F0"/>
    <w:rsid w:val="000102D1"/>
    <w:rsid w:val="000561DA"/>
    <w:rsid w:val="00070BEF"/>
    <w:rsid w:val="00090F48"/>
    <w:rsid w:val="0009316F"/>
    <w:rsid w:val="000A14BB"/>
    <w:rsid w:val="000F5DF1"/>
    <w:rsid w:val="00115E38"/>
    <w:rsid w:val="0012565F"/>
    <w:rsid w:val="0014114D"/>
    <w:rsid w:val="001437E0"/>
    <w:rsid w:val="00143F9C"/>
    <w:rsid w:val="00171B7B"/>
    <w:rsid w:val="001B7A2B"/>
    <w:rsid w:val="001C6153"/>
    <w:rsid w:val="001C7D1F"/>
    <w:rsid w:val="001F6030"/>
    <w:rsid w:val="001F68E9"/>
    <w:rsid w:val="00217678"/>
    <w:rsid w:val="00220E8F"/>
    <w:rsid w:val="002255D7"/>
    <w:rsid w:val="00227495"/>
    <w:rsid w:val="00230C04"/>
    <w:rsid w:val="0024249E"/>
    <w:rsid w:val="00243C14"/>
    <w:rsid w:val="00256108"/>
    <w:rsid w:val="00261678"/>
    <w:rsid w:val="00276AC9"/>
    <w:rsid w:val="002856CA"/>
    <w:rsid w:val="00286B46"/>
    <w:rsid w:val="002A1586"/>
    <w:rsid w:val="002B2A17"/>
    <w:rsid w:val="002C5716"/>
    <w:rsid w:val="002C7D7D"/>
    <w:rsid w:val="002E49F5"/>
    <w:rsid w:val="002F24A7"/>
    <w:rsid w:val="00311B5E"/>
    <w:rsid w:val="003352B9"/>
    <w:rsid w:val="0033705B"/>
    <w:rsid w:val="00355004"/>
    <w:rsid w:val="003929E7"/>
    <w:rsid w:val="003A396A"/>
    <w:rsid w:val="0041266A"/>
    <w:rsid w:val="004175D4"/>
    <w:rsid w:val="004230AE"/>
    <w:rsid w:val="004276EA"/>
    <w:rsid w:val="0044132B"/>
    <w:rsid w:val="00443B56"/>
    <w:rsid w:val="004453BF"/>
    <w:rsid w:val="00447A73"/>
    <w:rsid w:val="004659B0"/>
    <w:rsid w:val="00466DB9"/>
    <w:rsid w:val="00471692"/>
    <w:rsid w:val="00492250"/>
    <w:rsid w:val="00493E35"/>
    <w:rsid w:val="004A609E"/>
    <w:rsid w:val="004C104B"/>
    <w:rsid w:val="004C2780"/>
    <w:rsid w:val="004C6976"/>
    <w:rsid w:val="005077EF"/>
    <w:rsid w:val="005640D3"/>
    <w:rsid w:val="0056716B"/>
    <w:rsid w:val="005A409E"/>
    <w:rsid w:val="005C7CA8"/>
    <w:rsid w:val="005D44B1"/>
    <w:rsid w:val="005D47ED"/>
    <w:rsid w:val="00600F2C"/>
    <w:rsid w:val="0061606C"/>
    <w:rsid w:val="00627EBE"/>
    <w:rsid w:val="0064090A"/>
    <w:rsid w:val="006414C7"/>
    <w:rsid w:val="0064799B"/>
    <w:rsid w:val="0066016D"/>
    <w:rsid w:val="00673365"/>
    <w:rsid w:val="006D2750"/>
    <w:rsid w:val="006E46C4"/>
    <w:rsid w:val="006F36F0"/>
    <w:rsid w:val="006F52D0"/>
    <w:rsid w:val="00712477"/>
    <w:rsid w:val="007164E4"/>
    <w:rsid w:val="00721635"/>
    <w:rsid w:val="007548BA"/>
    <w:rsid w:val="00760107"/>
    <w:rsid w:val="0077027C"/>
    <w:rsid w:val="00784309"/>
    <w:rsid w:val="00793213"/>
    <w:rsid w:val="007C4BE0"/>
    <w:rsid w:val="007D7512"/>
    <w:rsid w:val="007D793C"/>
    <w:rsid w:val="007F410D"/>
    <w:rsid w:val="00802EC3"/>
    <w:rsid w:val="00841D51"/>
    <w:rsid w:val="008449C2"/>
    <w:rsid w:val="0087065F"/>
    <w:rsid w:val="00881846"/>
    <w:rsid w:val="00897837"/>
    <w:rsid w:val="008979F5"/>
    <w:rsid w:val="008A1656"/>
    <w:rsid w:val="008C56B7"/>
    <w:rsid w:val="008F7FE4"/>
    <w:rsid w:val="0090046F"/>
    <w:rsid w:val="0090693F"/>
    <w:rsid w:val="009129AC"/>
    <w:rsid w:val="00923EA3"/>
    <w:rsid w:val="00926467"/>
    <w:rsid w:val="00930DF8"/>
    <w:rsid w:val="00931BD5"/>
    <w:rsid w:val="009342F3"/>
    <w:rsid w:val="00937EBD"/>
    <w:rsid w:val="00942C9D"/>
    <w:rsid w:val="009668ED"/>
    <w:rsid w:val="00967444"/>
    <w:rsid w:val="00981DA1"/>
    <w:rsid w:val="00990D6C"/>
    <w:rsid w:val="00995323"/>
    <w:rsid w:val="009B36C8"/>
    <w:rsid w:val="009C0445"/>
    <w:rsid w:val="009C4DAD"/>
    <w:rsid w:val="009D1723"/>
    <w:rsid w:val="009F648B"/>
    <w:rsid w:val="00A10A11"/>
    <w:rsid w:val="00A300AF"/>
    <w:rsid w:val="00A31580"/>
    <w:rsid w:val="00A45954"/>
    <w:rsid w:val="00A54379"/>
    <w:rsid w:val="00A55B71"/>
    <w:rsid w:val="00A6066D"/>
    <w:rsid w:val="00A85810"/>
    <w:rsid w:val="00A868F6"/>
    <w:rsid w:val="00A91C4C"/>
    <w:rsid w:val="00AA22A0"/>
    <w:rsid w:val="00AA663C"/>
    <w:rsid w:val="00AB4670"/>
    <w:rsid w:val="00AC2225"/>
    <w:rsid w:val="00AC33EE"/>
    <w:rsid w:val="00B0277F"/>
    <w:rsid w:val="00B04133"/>
    <w:rsid w:val="00B044C2"/>
    <w:rsid w:val="00B15A8E"/>
    <w:rsid w:val="00B266CE"/>
    <w:rsid w:val="00B31B74"/>
    <w:rsid w:val="00B35461"/>
    <w:rsid w:val="00B45292"/>
    <w:rsid w:val="00B533A7"/>
    <w:rsid w:val="00B62E68"/>
    <w:rsid w:val="00B822B0"/>
    <w:rsid w:val="00B85270"/>
    <w:rsid w:val="00B85D3B"/>
    <w:rsid w:val="00B90697"/>
    <w:rsid w:val="00BA170C"/>
    <w:rsid w:val="00BA2CC7"/>
    <w:rsid w:val="00BB2332"/>
    <w:rsid w:val="00BB48D3"/>
    <w:rsid w:val="00BB5682"/>
    <w:rsid w:val="00BC0483"/>
    <w:rsid w:val="00BD41EB"/>
    <w:rsid w:val="00BE1F4C"/>
    <w:rsid w:val="00BE3C2D"/>
    <w:rsid w:val="00BE50E9"/>
    <w:rsid w:val="00C12474"/>
    <w:rsid w:val="00C3024C"/>
    <w:rsid w:val="00C37C4B"/>
    <w:rsid w:val="00C442A8"/>
    <w:rsid w:val="00C47BA2"/>
    <w:rsid w:val="00C53645"/>
    <w:rsid w:val="00C6252C"/>
    <w:rsid w:val="00C7143D"/>
    <w:rsid w:val="00C862D8"/>
    <w:rsid w:val="00C94695"/>
    <w:rsid w:val="00C95233"/>
    <w:rsid w:val="00CF64E2"/>
    <w:rsid w:val="00D034A9"/>
    <w:rsid w:val="00D050EF"/>
    <w:rsid w:val="00D0706D"/>
    <w:rsid w:val="00D147D4"/>
    <w:rsid w:val="00D173B1"/>
    <w:rsid w:val="00D514D4"/>
    <w:rsid w:val="00D723C4"/>
    <w:rsid w:val="00D90AC2"/>
    <w:rsid w:val="00D92EE3"/>
    <w:rsid w:val="00D9301F"/>
    <w:rsid w:val="00DB0727"/>
    <w:rsid w:val="00DC7646"/>
    <w:rsid w:val="00DE4BFE"/>
    <w:rsid w:val="00E03B81"/>
    <w:rsid w:val="00E065B7"/>
    <w:rsid w:val="00E26BEA"/>
    <w:rsid w:val="00E26D2C"/>
    <w:rsid w:val="00E27367"/>
    <w:rsid w:val="00E40563"/>
    <w:rsid w:val="00E47483"/>
    <w:rsid w:val="00E7296E"/>
    <w:rsid w:val="00E82708"/>
    <w:rsid w:val="00E842C2"/>
    <w:rsid w:val="00E8491C"/>
    <w:rsid w:val="00EB6ED6"/>
    <w:rsid w:val="00EC18A0"/>
    <w:rsid w:val="00ED02A8"/>
    <w:rsid w:val="00EE1546"/>
    <w:rsid w:val="00EE383C"/>
    <w:rsid w:val="00EE3FF2"/>
    <w:rsid w:val="00EE6AEC"/>
    <w:rsid w:val="00F045A4"/>
    <w:rsid w:val="00F16266"/>
    <w:rsid w:val="00F25D18"/>
    <w:rsid w:val="00F87AE6"/>
    <w:rsid w:val="00FA076D"/>
    <w:rsid w:val="00FB1467"/>
    <w:rsid w:val="00FB2D91"/>
    <w:rsid w:val="00FB7719"/>
    <w:rsid w:val="00FF073C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CFDE8B"/>
  <w15:docId w15:val="{373F95A3-40E8-4BA1-9D79-79E7049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6266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FDA023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FDA02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465E9C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5E9C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465E9C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5E9C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D57B02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2B1E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D57B02" w:themeColor="accent1" w:themeShade="BF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AA2B1E" w:themeFill="accent2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7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AA2B1E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FEE7C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AA2B1E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2B1E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7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F36F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2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6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F1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6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66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5D47ED"/>
    <w:pPr>
      <w:spacing w:after="0" w:line="360" w:lineRule="auto"/>
    </w:pPr>
    <w:rPr>
      <w:rFonts w:eastAsia="Cambria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rsid w:val="00E842C2"/>
    <w:rPr>
      <w:color w:val="ED7D2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2.health.wa.gov.au/~/media/Files/Corporate/general%20documents/Infectious%20diseases/Word/OzFoodNet/WA-OzFoodnet-appendix2-2019-Q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2.health.wa.gov.au/~/media/Files/Corporate/general%20documents/Infectious%20diseases/Word/OzFoodNet/WA-OzFoodnet-appendix2-2019-Q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2.health.wa.gov.au/~/media/Files/Corporate/general%20documents/Infectious%20diseases/Word/OzFoodNet/WA-OzFoodnet-appendix1-2019-Q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2.health.wa.gov.au/~/media/Files/Corporate/general%20documents/Infectious%20diseases/Word/OzFoodNet/WA-OzFoodnet-appendix1-2019-Q4" TargetMode="Externa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9EA3-7E85-4C7E-8F03-22C4B7FE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Witham, Benjamin</dc:creator>
  <cp:lastModifiedBy>Witham, Benjamin</cp:lastModifiedBy>
  <cp:revision>3</cp:revision>
  <dcterms:created xsi:type="dcterms:W3CDTF">2020-08-11T02:54:00Z</dcterms:created>
  <dcterms:modified xsi:type="dcterms:W3CDTF">2020-08-11T02:57:00Z</dcterms:modified>
</cp:coreProperties>
</file>