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66" w:rsidRDefault="00C6252C" w:rsidP="001F6030">
      <w:r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F64F52" wp14:editId="244DB6DC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627EBE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3</w:t>
                            </w:r>
                            <w:r w:rsidR="00627EBE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rd</w:t>
                            </w:r>
                            <w:r w:rsidR="00627EBE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64F5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106.4pt;margin-top:-13.8pt;width:656.75pt;height:3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" filled="f" stroked="f">
                <v:textbox>
                  <w:txbxContent>
                    <w:p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627EBE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3</w:t>
                      </w:r>
                      <w:r w:rsidR="00627EBE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rd</w:t>
                      </w:r>
                      <w:r w:rsidR="00627EBE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2019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CE6FE" wp14:editId="70E68CA4">
                <wp:simplePos x="0" y="0"/>
                <wp:positionH relativeFrom="column">
                  <wp:posOffset>-565150</wp:posOffset>
                </wp:positionH>
                <wp:positionV relativeFrom="paragraph">
                  <wp:posOffset>205740</wp:posOffset>
                </wp:positionV>
                <wp:extent cx="6867525" cy="94615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46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EF" w:rsidRPr="00D034A9" w:rsidRDefault="0092646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B3546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third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quarter of 201</w:t>
                            </w:r>
                            <w:r w:rsidR="00D173B1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9 (3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Q19)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F36F0" w:rsidRPr="00D034A9" w:rsidRDefault="00926467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>Some of the increase in notifications is likely to be due to the introduction of polymerase chain reaction (PCR) testing of faecal specimens which has greater sensitivity than culture techniques.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E6FE" id="Text Box 2" o:spid="_x0000_s1027" type="#_x0000_t202" style="position:absolute;margin-left:-44.5pt;margin-top:16.2pt;width:540.7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" fillcolor="#d7dded [671]" stroked="f">
                <v:textbox>
                  <w:txbxContent>
                    <w:p w:rsidR="00D050EF" w:rsidRPr="00D034A9" w:rsidRDefault="0092646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B35461">
                        <w:rPr>
                          <w:rFonts w:eastAsia="Calibri" w:cs="Arial"/>
                          <w:sz w:val="20"/>
                          <w:szCs w:val="20"/>
                        </w:rPr>
                        <w:t>third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quarter of 201</w:t>
                      </w:r>
                      <w:r w:rsidR="00D173B1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9 (3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Q19)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F36F0" w:rsidRPr="00D034A9" w:rsidRDefault="00926467">
                      <w:pPr>
                        <w:rPr>
                          <w:rFonts w:cs="Arial"/>
                          <w:szCs w:val="24"/>
                        </w:rPr>
                      </w:pP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>Some of the increase in notifications is likely to be due to the introduction of polymerase chain reaction (PCR) testing of faecal specimens which has greater sensitivity than culture techniques.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E5EC5" wp14:editId="57769AAF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5EC5" id="Text Box 7" o:spid="_x0000_s1028" type="#_x0000_t202" style="position:absolute;margin-left:380.45pt;margin-top:-46.6pt;width:148.35pt;height:2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701248" behindDoc="0" locked="0" layoutInCell="1" allowOverlap="1" wp14:anchorId="7C1913B9" wp14:editId="69168C7A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99200" behindDoc="0" locked="0" layoutInCell="1" allowOverlap="1" wp14:anchorId="2118104B" wp14:editId="3335DD4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Default="00143F9C">
      <w:pPr>
        <w:spacing w:after="200" w:line="276" w:lineRule="auto"/>
      </w:pPr>
      <w:r>
        <w:rPr>
          <w:noProof/>
          <w:lang w:eastAsia="en-AU"/>
        </w:rPr>
        <w:drawing>
          <wp:anchor distT="0" distB="0" distL="114300" distR="114300" simplePos="0" relativeHeight="251720704" behindDoc="0" locked="0" layoutInCell="1" allowOverlap="1" wp14:anchorId="7DD3E6B1" wp14:editId="45461507">
            <wp:simplePos x="0" y="0"/>
            <wp:positionH relativeFrom="column">
              <wp:posOffset>754083</wp:posOffset>
            </wp:positionH>
            <wp:positionV relativeFrom="paragraph">
              <wp:posOffset>4449107</wp:posOffset>
            </wp:positionV>
            <wp:extent cx="4725285" cy="3633849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25" cy="3637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7762106C" wp14:editId="081CF660">
            <wp:simplePos x="0" y="0"/>
            <wp:positionH relativeFrom="column">
              <wp:posOffset>789057</wp:posOffset>
            </wp:positionH>
            <wp:positionV relativeFrom="paragraph">
              <wp:posOffset>1119406</wp:posOffset>
            </wp:positionV>
            <wp:extent cx="4478410" cy="291429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10" cy="291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C2"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246D02" wp14:editId="4276BF0B">
                <wp:simplePos x="0" y="0"/>
                <wp:positionH relativeFrom="column">
                  <wp:posOffset>-564078</wp:posOffset>
                </wp:positionH>
                <wp:positionV relativeFrom="paragraph">
                  <wp:posOffset>8082956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6D" w:rsidRDefault="00E842C2" w:rsidP="00BE50E9">
                            <w:pPr>
                              <w:spacing w:after="0"/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B70DAF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</w:p>
                          <w:p w:rsidR="00A6066D" w:rsidRPr="00A6066D" w:rsidRDefault="005A3015" w:rsidP="00BE50E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B822B0" w:rsidRPr="00DF0352">
                                <w:rPr>
                                  <w:rStyle w:val="Hyperlink"/>
                                  <w:rFonts w:ascii="Calibri" w:hAnsi="Calibri"/>
                                  <w:sz w:val="16"/>
                                </w:rPr>
                                <w:t>https://ww2.health.wa.gov.au/~/media/Files/Corporate/general%20documents/Infectious%20diseases/Word/OzFoodNet/WA-OzFoodnet-appendix1-2019-Q3.doc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6D02" id="Text Box 21" o:spid="_x0000_s1029" type="#_x0000_t202" style="position:absolute;margin-left:-44.4pt;margin-top:636.45pt;width:539.55pt;height:3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" filled="f" stroked="f" strokeweight=".5pt">
                <v:textbox>
                  <w:txbxContent>
                    <w:p w:rsidR="0066016D" w:rsidRDefault="00E842C2" w:rsidP="00BE50E9">
                      <w:pPr>
                        <w:spacing w:after="0"/>
                        <w:rPr>
                          <w:rFonts w:ascii="Calibri" w:hAnsi="Calibri"/>
                          <w:color w:val="005B38"/>
                          <w:sz w:val="14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B70DAF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</w:p>
                    <w:p w:rsidR="00A6066D" w:rsidRPr="00A6066D" w:rsidRDefault="005A3015" w:rsidP="00BE50E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="00B822B0" w:rsidRPr="00DF0352">
                          <w:rPr>
                            <w:rStyle w:val="Hyperlink"/>
                            <w:rFonts w:ascii="Calibri" w:hAnsi="Calibri"/>
                            <w:sz w:val="16"/>
                          </w:rPr>
                          <w:t>https://ww2.health.wa.gov.au/~/media/Files/Corporate/general%20documents/Infectious%20diseases/Word/OzFoodNet/WA-OzFoodnet-appendix1-2019-Q3.doc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BD040" wp14:editId="6EC11D7C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D040" id="_x0000_s1030" type="#_x0000_t202" style="position:absolute;margin-left:-45.75pt;margin-top:675.75pt;width:542.15pt;height:4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r1EAIAAPsDAAAOAAAAZHJzL2Uyb0RvYy54bWysU9uO2yAQfa/Uf0C8N3bceD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Ptba&#10;9R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51004" wp14:editId="4E942791">
                <wp:simplePos x="0" y="0"/>
                <wp:positionH relativeFrom="column">
                  <wp:posOffset>-580445</wp:posOffset>
                </wp:positionH>
                <wp:positionV relativeFrom="paragraph">
                  <wp:posOffset>4090007</wp:posOffset>
                </wp:positionV>
                <wp:extent cx="6868795" cy="4492487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924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266" w:rsidRPr="00E065B7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Change in enteric disease notifications (%)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</w:p>
                          <w:p w:rsidR="00F16266" w:rsidRDefault="00F16266" w:rsidP="00F16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1004" id="_x0000_s1031" type="#_x0000_t202" style="position:absolute;margin-left:-45.7pt;margin-top:322.05pt;width:540.85pt;height:3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" fillcolor="#d7dded [671]" stroked="f">
                <v:fill opacity="32896f"/>
                <v:textbox>
                  <w:txbxContent>
                    <w:p w:rsidR="00F16266" w:rsidRPr="00E065B7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Change in enteric disease notifications (%)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</w:p>
                    <w:p w:rsidR="00F16266" w:rsidRDefault="00F16266" w:rsidP="00F16266"/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ED5C6" wp14:editId="481BC1AE">
                <wp:simplePos x="0" y="0"/>
                <wp:positionH relativeFrom="column">
                  <wp:posOffset>-564543</wp:posOffset>
                </wp:positionH>
                <wp:positionV relativeFrom="paragraph">
                  <wp:posOffset>1004901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6F0" w:rsidRPr="00143F9C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627EBE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2019</w:t>
                            </w:r>
                          </w:p>
                          <w:p w:rsidR="006F36F0" w:rsidRDefault="006F36F0" w:rsidP="00DC7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D5C6" id="_x0000_s1032" type="#_x0000_t202" style="position:absolute;margin-left:-44.45pt;margin-top:79.15pt;width:540.75pt;height:2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" fillcolor="#d7dded [671]" stroked="f">
                <v:fill opacity="32896f"/>
                <v:textbox>
                  <w:txbxContent>
                    <w:p w:rsidR="006F36F0" w:rsidRPr="00143F9C" w:rsidRDefault="006F36F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627EBE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3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2019</w:t>
                      </w:r>
                    </w:p>
                    <w:p w:rsidR="006F36F0" w:rsidRDefault="006F36F0" w:rsidP="00DC76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:rsidR="00F16266" w:rsidRPr="00C862D8" w:rsidRDefault="008449C2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lastRenderedPageBreak/>
        <w:t xml:space="preserve">Outbreaks in Quarter </w:t>
      </w:r>
      <w:r w:rsidR="00C862D8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3</w:t>
      </w:r>
      <w:r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2019</w:t>
      </w:r>
    </w:p>
    <w:p w:rsidR="00F16266" w:rsidRPr="00F16266" w:rsidRDefault="005A3015" w:rsidP="00F16266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2865864</wp:posOffset>
            </wp:positionH>
            <wp:positionV relativeFrom="paragraph">
              <wp:posOffset>19050</wp:posOffset>
            </wp:positionV>
            <wp:extent cx="3558595" cy="1497902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5" b="52039"/>
                    <a:stretch/>
                  </pic:blipFill>
                  <pic:spPr bwMode="auto">
                    <a:xfrm>
                      <a:off x="0" y="0"/>
                      <a:ext cx="3558595" cy="149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2D8">
        <w:rPr>
          <w:noProof/>
          <w:lang w:eastAsia="en-AU"/>
        </w:rPr>
        <w:drawing>
          <wp:anchor distT="0" distB="0" distL="114300" distR="114300" simplePos="0" relativeHeight="251652608" behindDoc="0" locked="0" layoutInCell="1" allowOverlap="1" wp14:anchorId="592A4755" wp14:editId="45FF6FBB">
            <wp:simplePos x="0" y="0"/>
            <wp:positionH relativeFrom="column">
              <wp:posOffset>-777834</wp:posOffset>
            </wp:positionH>
            <wp:positionV relativeFrom="paragraph">
              <wp:posOffset>34859</wp:posOffset>
            </wp:positionV>
            <wp:extent cx="3524903" cy="1540155"/>
            <wp:effectExtent l="0" t="0" r="0" b="3175"/>
            <wp:wrapNone/>
            <wp:docPr id="11" name="Picture 11" descr="C:\Users\he39913\Downloads\OzFoodNet Quarterly Report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39913\Downloads\OzFoodNet Quarterly Report (1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7" b="69026"/>
                    <a:stretch/>
                  </pic:blipFill>
                  <pic:spPr bwMode="auto">
                    <a:xfrm>
                      <a:off x="0" y="0"/>
                      <a:ext cx="3524448" cy="15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F16266" w:rsidRPr="00F16266" w:rsidRDefault="00B85270" w:rsidP="00F16266"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A8BD067" wp14:editId="10C6FA87">
            <wp:simplePos x="0" y="0"/>
            <wp:positionH relativeFrom="column">
              <wp:posOffset>890649</wp:posOffset>
            </wp:positionH>
            <wp:positionV relativeFrom="paragraph">
              <wp:posOffset>156664</wp:posOffset>
            </wp:positionV>
            <wp:extent cx="4099198" cy="1611399"/>
            <wp:effectExtent l="0" t="0" r="0" b="8255"/>
            <wp:wrapNone/>
            <wp:docPr id="13" name="Picture 13" descr="C:\Users\he39913\Downloads\OzFoodNet Quarterly Report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39913\Downloads\OzFoodNet Quarterly Report (1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05" b="34970"/>
                    <a:stretch/>
                  </pic:blipFill>
                  <pic:spPr bwMode="auto">
                    <a:xfrm>
                      <a:off x="0" y="0"/>
                      <a:ext cx="4097401" cy="16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>
      <w:bookmarkStart w:id="0" w:name="_GoBack"/>
      <w:bookmarkEnd w:id="0"/>
    </w:p>
    <w:p w:rsidR="00F16266" w:rsidRDefault="00F16266" w:rsidP="00F16266"/>
    <w:p w:rsidR="00F16266" w:rsidRDefault="00F16266" w:rsidP="00F16266"/>
    <w:p w:rsidR="00F16266" w:rsidRDefault="00F16266" w:rsidP="00F16266">
      <w:pPr>
        <w:ind w:firstLine="720"/>
      </w:pPr>
    </w:p>
    <w:p w:rsidR="00F16266" w:rsidRPr="00F16266" w:rsidRDefault="00E842C2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E19163" wp14:editId="29935DDB">
                <wp:simplePos x="0" y="0"/>
                <wp:positionH relativeFrom="column">
                  <wp:posOffset>-476885</wp:posOffset>
                </wp:positionH>
                <wp:positionV relativeFrom="paragraph">
                  <wp:posOffset>32797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2C2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A6066D"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2019:</w:t>
                            </w:r>
                          </w:p>
                          <w:p w:rsidR="00311B5E" w:rsidRPr="00B70DAF" w:rsidRDefault="005A3015" w:rsidP="00311B5E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kern w:val="24"/>
                                <w:sz w:val="18"/>
                                <w:szCs w:val="32"/>
                                <w:lang w:eastAsia="en-AU"/>
                              </w:rPr>
                            </w:pPr>
                            <w:hyperlink r:id="rId17" w:history="1">
                              <w:r w:rsidR="00311B5E" w:rsidRPr="00DF0352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https://ww2.health.wa.gov.au/~/media/Files/Corporate/general%20documents/Infectious%20diseases/Word/OzFoodNet/WA-OzFoodnet-appendix2-2019-Q3.doc</w:t>
                              </w:r>
                            </w:hyperlink>
                          </w:p>
                          <w:p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9163" id="Text Box 23" o:spid="_x0000_s1033" type="#_x0000_t202" style="position:absolute;margin-left:-37.55pt;margin-top:2.6pt;width:528.25pt;height:4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" filled="f" stroked="f" strokeweight=".5pt">
                <v:textbox>
                  <w:txbxContent>
                    <w:p w:rsidR="00E842C2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</w:t>
                      </w:r>
                      <w:r w:rsidRPr="00A6066D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outbreaks investigated in Quarter </w:t>
                      </w:r>
                      <w:r w:rsidR="00A6066D"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3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2019:</w:t>
                      </w:r>
                    </w:p>
                    <w:p w:rsidR="00311B5E" w:rsidRPr="00B70DAF" w:rsidRDefault="005A3015" w:rsidP="00311B5E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kern w:val="24"/>
                          <w:sz w:val="18"/>
                          <w:szCs w:val="32"/>
                          <w:lang w:eastAsia="en-AU"/>
                        </w:rPr>
                      </w:pPr>
                      <w:hyperlink r:id="rId18" w:history="1">
                        <w:r w:rsidR="00311B5E" w:rsidRPr="00DF0352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https://ww2.health.wa.gov.au/~/media/Files/Corporate/general%20documents/Infectious%20diseases/Word/OzFoodNet/WA-OzFoodnet-appendix2-2019-Q3.doc</w:t>
                        </w:r>
                      </w:hyperlink>
                    </w:p>
                    <w:p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6266" w:rsidRPr="00F16266" w:rsidRDefault="00F16266" w:rsidP="00F16266"/>
    <w:p w:rsidR="00F16266" w:rsidRPr="00F16266" w:rsidRDefault="00F16266" w:rsidP="00F16266"/>
    <w:p w:rsidR="00F16266" w:rsidRDefault="00BB48D3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5845AB3" wp14:editId="11984B17">
                <wp:simplePos x="0" y="0"/>
                <wp:positionH relativeFrom="column">
                  <wp:posOffset>-477520</wp:posOffset>
                </wp:positionH>
                <wp:positionV relativeFrom="paragraph">
                  <wp:posOffset>32385</wp:posOffset>
                </wp:positionV>
                <wp:extent cx="6708775" cy="4826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4826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600F2C"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3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2019</w:t>
                            </w:r>
                          </w:p>
                          <w:p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:rsidR="00BB48D3" w:rsidRPr="00931BD5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</w:pPr>
                            <w:r w:rsidRPr="00931BD5">
                              <w:rPr>
                                <w:rFonts w:eastAsia="Calibri" w:cs="Times New Roman"/>
                                <w:b/>
                                <w:i/>
                                <w:color w:val="465E9C"/>
                                <w:sz w:val="20"/>
                                <w:szCs w:val="20"/>
                              </w:rPr>
                              <w:t>Salmonella</w:t>
                            </w:r>
                            <w:r w:rsidRPr="00931BD5"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  <w:t xml:space="preserve"> Typhimurium (STM) MLVA</w:t>
                            </w:r>
                            <w:r w:rsidRPr="00C862D8"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F2C">
                              <w:rPr>
                                <w:rFonts w:eastAsia="Calibri" w:cs="Times New Roman"/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03-17-09-12-523 </w:t>
                            </w:r>
                          </w:p>
                          <w:p w:rsidR="00BB48D3" w:rsidRPr="00627EBE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STM MLVA 03-17-09-12-523 has been under investigation since the type emerged in September 2016. From September 20</w:t>
                            </w:r>
                            <w:r w:rsidR="00931BD5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995323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September</w:t>
                            </w:r>
                            <w:r w:rsidR="00931BD5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2019 there </w:t>
                            </w:r>
                            <w:r w:rsidR="00995323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1340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995323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51 cases in 3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Q19. This MLVA type was the single mos</w:t>
                            </w:r>
                            <w:r w:rsidR="00600F2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 common MLVA type notified in 3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Q19, constituting </w:t>
                            </w:r>
                            <w:r w:rsidR="00995323" w:rsidRPr="00995323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995323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600F2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No point source outbreaks were identified in 3Q19. </w:t>
                            </w:r>
                          </w:p>
                          <w:p w:rsidR="00D050EF" w:rsidRPr="00FC2612" w:rsidRDefault="00600F2C" w:rsidP="00F25D1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CD025F8" wp14:editId="784D69B1">
                                  <wp:extent cx="5943600" cy="2766950"/>
                                  <wp:effectExtent l="0" t="0" r="0" b="14605"/>
                                  <wp:docPr id="7" name="Char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WA, 2016 to </w:t>
                            </w:r>
                            <w:r w:rsidR="00600F2C" w:rsidRPr="00600F2C">
                              <w:rPr>
                                <w:color w:val="465E9C" w:themeColor="text2"/>
                                <w:sz w:val="20"/>
                              </w:rPr>
                              <w:t>September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2019</w:t>
                            </w:r>
                          </w:p>
                          <w:p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5AB3" id="_x0000_s1034" type="#_x0000_t202" style="position:absolute;margin-left:-37.6pt;margin-top:2.55pt;width:528.25pt;height:380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" fillcolor="#d7dded [671]" stroked="f">
                <v:fill opacity="32896f"/>
                <v:textbox>
                  <w:txbxContent>
                    <w:p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600F2C"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3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2019</w:t>
                      </w:r>
                    </w:p>
                    <w:p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:rsidR="00BB48D3" w:rsidRPr="00931BD5" w:rsidRDefault="00BB48D3" w:rsidP="00BB48D3">
                      <w:pPr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</w:pPr>
                      <w:r w:rsidRPr="00931BD5">
                        <w:rPr>
                          <w:rFonts w:eastAsia="Calibri" w:cs="Times New Roman"/>
                          <w:b/>
                          <w:i/>
                          <w:color w:val="465E9C"/>
                          <w:sz w:val="20"/>
                          <w:szCs w:val="20"/>
                        </w:rPr>
                        <w:t>Salmonella</w:t>
                      </w:r>
                      <w:r w:rsidRPr="00931BD5"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  <w:t xml:space="preserve"> Typhimurium (STM) MLVA</w:t>
                      </w:r>
                      <w:r w:rsidRPr="00C862D8"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00F2C">
                        <w:rPr>
                          <w:rFonts w:eastAsia="Calibri" w:cs="Times New Roman"/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03-17-09-12-523 </w:t>
                      </w:r>
                    </w:p>
                    <w:p w:rsidR="00BB48D3" w:rsidRPr="00627EBE" w:rsidRDefault="00BB48D3" w:rsidP="00BB48D3">
                      <w:pPr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STM MLVA 03-17-09-12-523 has been under investigation since the type emerged in September 2016. From September 20</w:t>
                      </w:r>
                      <w:r w:rsidR="00931BD5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995323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September</w:t>
                      </w:r>
                      <w:r w:rsidR="00931BD5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2019 there </w:t>
                      </w:r>
                      <w:r w:rsidR="00995323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were 1340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995323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51 cases in 3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Q19. This MLVA type was the single mos</w:t>
                      </w:r>
                      <w:r w:rsidR="00600F2C">
                        <w:rPr>
                          <w:rFonts w:eastAsia="Calibri" w:cs="Times New Roman"/>
                          <w:sz w:val="20"/>
                          <w:szCs w:val="20"/>
                        </w:rPr>
                        <w:t>t common MLVA type notified in 3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Q19, constituting </w:t>
                      </w:r>
                      <w:r w:rsidR="00995323" w:rsidRPr="00995323">
                        <w:rPr>
                          <w:rFonts w:eastAsia="Calibri" w:cs="Arial"/>
                          <w:sz w:val="20"/>
                          <w:szCs w:val="20"/>
                        </w:rPr>
                        <w:t>12</w:t>
                      </w:r>
                      <w:r w:rsidRPr="00995323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600F2C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No point source outbreaks were identified in 3Q19. </w:t>
                      </w:r>
                    </w:p>
                    <w:p w:rsidR="00D050EF" w:rsidRPr="00FC2612" w:rsidRDefault="00600F2C" w:rsidP="00F25D18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CD025F8" wp14:editId="784D69B1">
                            <wp:extent cx="5943600" cy="2766950"/>
                            <wp:effectExtent l="0" t="0" r="0" b="14605"/>
                            <wp:docPr id="7" name="Chart 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WA, 2016 to </w:t>
                      </w:r>
                      <w:r w:rsidR="00600F2C" w:rsidRPr="00600F2C">
                        <w:rPr>
                          <w:color w:val="465E9C" w:themeColor="text2"/>
                          <w:sz w:val="20"/>
                        </w:rPr>
                        <w:t>September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2019</w:t>
                      </w:r>
                    </w:p>
                    <w:p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B46" w:rsidRDefault="00F16266" w:rsidP="00F16266">
      <w:pPr>
        <w:tabs>
          <w:tab w:val="left" w:pos="1861"/>
        </w:tabs>
      </w:pPr>
      <w:r>
        <w:tab/>
      </w:r>
    </w:p>
    <w:p w:rsidR="00286B46" w:rsidRPr="00286B46" w:rsidRDefault="00286B46" w:rsidP="00286B46"/>
    <w:p w:rsidR="00286B46" w:rsidRPr="00286B46" w:rsidRDefault="00286B46" w:rsidP="00286B46"/>
    <w:p w:rsidR="00286B46" w:rsidRDefault="00286B46" w:rsidP="00286B46"/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64090A" w:rsidRDefault="0064090A" w:rsidP="00286B46">
      <w:pPr>
        <w:rPr>
          <w:b/>
          <w:color w:val="FF0000"/>
        </w:rPr>
      </w:pPr>
    </w:p>
    <w:p w:rsidR="004C2780" w:rsidRDefault="004C2780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A868F6" w:rsidRDefault="00B04133" w:rsidP="00B62E68">
      <w:pPr>
        <w:rPr>
          <w:b/>
          <w:color w:val="FF000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855E77" wp14:editId="0985BC0C">
                <wp:simplePos x="0" y="0"/>
                <wp:positionH relativeFrom="column">
                  <wp:posOffset>-546265</wp:posOffset>
                </wp:positionH>
                <wp:positionV relativeFrom="paragraph">
                  <wp:posOffset>-243444</wp:posOffset>
                </wp:positionV>
                <wp:extent cx="6708775" cy="3230088"/>
                <wp:effectExtent l="0" t="0" r="0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32300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16D" w:rsidRPr="0044132B" w:rsidRDefault="005D47ED" w:rsidP="0066016D">
                            <w:pPr>
                              <w:pStyle w:val="Caption"/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  <w:r w:rsidRPr="00AC2225">
                              <w:rPr>
                                <w:color w:val="465E9C" w:themeColor="text2"/>
                                <w:sz w:val="20"/>
                              </w:rPr>
                              <w:t>Travel</w:t>
                            </w:r>
                            <w:r w:rsidR="00D050EF" w:rsidRPr="00AC2225">
                              <w:rPr>
                                <w:color w:val="465E9C" w:themeColor="text2"/>
                                <w:sz w:val="20"/>
                              </w:rPr>
                              <w:t xml:space="preserve"> associated infection</w:t>
                            </w:r>
                          </w:p>
                          <w:p w:rsidR="005D47ED" w:rsidRPr="0044132B" w:rsidRDefault="00B90697" w:rsidP="005D47ED">
                            <w:pPr>
                              <w:pStyle w:val="Caption"/>
                              <w:spacing w:line="240" w:lineRule="auto"/>
                              <w:rPr>
                                <w:b w:val="0"/>
                                <w:sz w:val="20"/>
                              </w:rPr>
                            </w:pPr>
                            <w:r w:rsidRPr="0044132B">
                              <w:rPr>
                                <w:b w:val="0"/>
                                <w:sz w:val="20"/>
                              </w:rPr>
                              <w:t xml:space="preserve">Overseas acquisition was reported in </w:t>
                            </w:r>
                            <w:r w:rsidR="0044132B" w:rsidRPr="0044132B">
                              <w:rPr>
                                <w:b w:val="0"/>
                                <w:sz w:val="20"/>
                              </w:rPr>
                              <w:t>296</w:t>
                            </w:r>
                            <w:r w:rsidR="00AC2225" w:rsidRPr="0044132B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44132B" w:rsidRPr="0044132B">
                              <w:rPr>
                                <w:b w:val="0"/>
                                <w:sz w:val="20"/>
                              </w:rPr>
                              <w:t>(17</w:t>
                            </w:r>
                            <w:r w:rsidR="0012565F" w:rsidRPr="0044132B">
                              <w:rPr>
                                <w:b w:val="0"/>
                                <w:sz w:val="20"/>
                              </w:rPr>
                              <w:t>%)</w:t>
                            </w:r>
                            <w:r w:rsidR="005D47ED" w:rsidRPr="0044132B">
                              <w:rPr>
                                <w:b w:val="0"/>
                                <w:sz w:val="20"/>
                              </w:rPr>
                              <w:t xml:space="preserve"> of enteric disease notifications </w:t>
                            </w:r>
                            <w:r w:rsidR="00D050EF" w:rsidRPr="0044132B">
                              <w:rPr>
                                <w:b w:val="0"/>
                                <w:sz w:val="20"/>
                              </w:rPr>
                              <w:t xml:space="preserve">in the </w:t>
                            </w:r>
                            <w:r w:rsidR="0044132B" w:rsidRPr="0044132B">
                              <w:rPr>
                                <w:b w:val="0"/>
                                <w:sz w:val="20"/>
                              </w:rPr>
                              <w:t>3</w:t>
                            </w:r>
                            <w:r w:rsidR="00D050EF" w:rsidRPr="0044132B">
                              <w:rPr>
                                <w:b w:val="0"/>
                                <w:sz w:val="20"/>
                              </w:rPr>
                              <w:t>Q19</w:t>
                            </w:r>
                            <w:r w:rsidR="005D47ED" w:rsidRPr="0044132B">
                              <w:rPr>
                                <w:b w:val="0"/>
                                <w:sz w:val="20"/>
                              </w:rPr>
                              <w:t xml:space="preserve">: </w:t>
                            </w:r>
                          </w:p>
                          <w:p w:rsidR="005D47ED" w:rsidRPr="0044132B" w:rsidRDefault="005D47ED" w:rsidP="005D47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132B">
                              <w:rPr>
                                <w:sz w:val="20"/>
                                <w:szCs w:val="20"/>
                              </w:rPr>
                              <w:t xml:space="preserve">The most commonly reported country </w:t>
                            </w:r>
                            <w:r w:rsidR="0044132B" w:rsidRPr="0044132B">
                              <w:rPr>
                                <w:sz w:val="20"/>
                                <w:szCs w:val="20"/>
                              </w:rPr>
                              <w:t>of acquisition was Indonesia (67</w:t>
                            </w:r>
                            <w:r w:rsidRPr="0044132B">
                              <w:rPr>
                                <w:sz w:val="20"/>
                                <w:szCs w:val="20"/>
                              </w:rPr>
                              <w:t xml:space="preserve">%). </w:t>
                            </w:r>
                          </w:p>
                          <w:p w:rsidR="00ED02A8" w:rsidRPr="000102D1" w:rsidRDefault="00ED02A8" w:rsidP="005D47ED">
                            <w:pPr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0102D1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Listeria</w:t>
                            </w:r>
                          </w:p>
                          <w:p w:rsidR="00ED02A8" w:rsidRP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02A8">
                              <w:rPr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="008A1656" w:rsidRPr="000102D1">
                              <w:rPr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Pr="000102D1">
                              <w:rPr>
                                <w:i/>
                                <w:sz w:val="20"/>
                                <w:szCs w:val="20"/>
                              </w:rPr>
                              <w:t>isteria</w:t>
                            </w:r>
                            <w:r w:rsidRPr="00ED02A8">
                              <w:rPr>
                                <w:sz w:val="20"/>
                                <w:szCs w:val="20"/>
                              </w:rPr>
                              <w:t xml:space="preserve"> cases were notified in pregnant women in </w:t>
                            </w:r>
                            <w:r w:rsidR="007548BA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 w:rsidRPr="00ED02A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7548BA">
                              <w:rPr>
                                <w:sz w:val="20"/>
                                <w:szCs w:val="20"/>
                              </w:rPr>
                              <w:t xml:space="preserve"> Both pregnancies were continuing at the time of interview. Isolates from the cases were different via whole genome sequencing, indicating a common source of infection was unlikely.</w:t>
                            </w:r>
                          </w:p>
                          <w:p w:rsidR="00E26D2C" w:rsidRPr="00760107" w:rsidRDefault="00E26D2C" w:rsidP="005D47E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Shiga toxin producing </w:t>
                            </w:r>
                            <w:r w:rsidRPr="002255D7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:rsidR="0066016D" w:rsidRPr="00942C9D" w:rsidRDefault="00C3024C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Ten </w:t>
                            </w:r>
                            <w:r w:rsidR="0044132B" w:rsidRPr="00760107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44132B" w:rsidRPr="00760107">
                              <w:rPr>
                                <w:sz w:val="20"/>
                                <w:szCs w:val="20"/>
                              </w:rPr>
                              <w:t xml:space="preserve"> 28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233" w:rsidRPr="00760107">
                              <w:rPr>
                                <w:sz w:val="20"/>
                                <w:szCs w:val="20"/>
                              </w:rPr>
                              <w:t>notifications were culture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760107"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>, the mos</w:t>
                            </w:r>
                            <w:r w:rsidR="00B90697" w:rsidRPr="00760107">
                              <w:rPr>
                                <w:sz w:val="20"/>
                                <w:szCs w:val="20"/>
                              </w:rPr>
                              <w:t>t common serotype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B04133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4C2" w:rsidRPr="00760107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>ere</w:t>
                            </w:r>
                            <w:r w:rsidR="00B044C2" w:rsidRPr="00760107">
                              <w:rPr>
                                <w:sz w:val="20"/>
                                <w:szCs w:val="20"/>
                              </w:rPr>
                              <w:t xml:space="preserve"> O128</w:t>
                            </w:r>
                            <w:r w:rsidR="00D92EE3" w:rsidRPr="00760107">
                              <w:rPr>
                                <w:sz w:val="20"/>
                                <w:szCs w:val="20"/>
                              </w:rPr>
                              <w:t>:H2</w:t>
                            </w:r>
                            <w:r w:rsidR="00760107" w:rsidRPr="00760107">
                              <w:rPr>
                                <w:sz w:val="20"/>
                                <w:szCs w:val="20"/>
                              </w:rPr>
                              <w:t xml:space="preserve"> (n=</w:t>
                            </w:r>
                            <w:r w:rsidR="00802EC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04133" w:rsidRPr="0076010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 xml:space="preserve"> and O157</w:t>
                            </w:r>
                            <w:r w:rsidR="00760107" w:rsidRPr="00760107">
                              <w:rPr>
                                <w:sz w:val="20"/>
                                <w:szCs w:val="20"/>
                              </w:rPr>
                              <w:t>:H7 (n=2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 xml:space="preserve">. No point </w:t>
                            </w:r>
                            <w:r w:rsidR="005D47ED" w:rsidRPr="00C47BA2">
                              <w:rPr>
                                <w:sz w:val="20"/>
                                <w:szCs w:val="20"/>
                              </w:rPr>
                              <w:t>source outbreaks were identified</w:t>
                            </w:r>
                            <w:r w:rsidR="00D90AC2" w:rsidRPr="00C47BA2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C47BA2" w:rsidRPr="00C47BA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90AC2" w:rsidRPr="00C47BA2">
                              <w:rPr>
                                <w:sz w:val="20"/>
                                <w:szCs w:val="20"/>
                              </w:rPr>
                              <w:t>Q19</w:t>
                            </w:r>
                            <w:r w:rsidR="005D47ED" w:rsidRPr="00C47BA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4309" w:rsidRPr="00942C9D">
                              <w:rPr>
                                <w:sz w:val="20"/>
                                <w:szCs w:val="20"/>
                              </w:rPr>
                              <w:t xml:space="preserve">Some of the 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 xml:space="preserve">increase is likely due </w:t>
                            </w:r>
                            <w:r w:rsidR="000102D1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942C9D">
                              <w:rPr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 xml:space="preserve">testing by one private </w:t>
                            </w:r>
                            <w:r w:rsidR="00B90697" w:rsidRPr="00942C9D">
                              <w:rPr>
                                <w:sz w:val="20"/>
                                <w:szCs w:val="20"/>
                              </w:rPr>
                              <w:t>laboratory</w:t>
                            </w:r>
                            <w:r w:rsidR="006414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656">
                              <w:rPr>
                                <w:sz w:val="20"/>
                                <w:szCs w:val="20"/>
                              </w:rPr>
                              <w:t>since</w:t>
                            </w:r>
                            <w:r w:rsidR="00784309" w:rsidRPr="00942C9D">
                              <w:rPr>
                                <w:sz w:val="20"/>
                                <w:szCs w:val="20"/>
                              </w:rPr>
                              <w:t xml:space="preserve"> the fourth quarter</w:t>
                            </w:r>
                            <w:r w:rsidR="006414C7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784309" w:rsidRPr="00942C9D"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00F2C" w:rsidRPr="00261678" w:rsidRDefault="00600F2C" w:rsidP="005D47ED">
                            <w:pPr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261678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Yersini</w:t>
                            </w:r>
                            <w:r w:rsidR="00923EA3" w:rsidRPr="00261678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600F2C" w:rsidRDefault="0026167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Eleven</w:t>
                            </w:r>
                            <w:r w:rsidR="00090F48" w:rsidRPr="00090F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656">
                              <w:rPr>
                                <w:sz w:val="20"/>
                                <w:szCs w:val="20"/>
                              </w:rPr>
                              <w:t xml:space="preserve">cases of </w:t>
                            </w:r>
                            <w:r w:rsidR="00090F48" w:rsidRPr="00261678">
                              <w:rPr>
                                <w:i/>
                                <w:sz w:val="20"/>
                                <w:szCs w:val="20"/>
                              </w:rPr>
                              <w:t>Yersinia</w:t>
                            </w:r>
                            <w:r w:rsidR="008A1656" w:rsidRPr="0026167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enterocolitica</w:t>
                            </w:r>
                            <w:r w:rsidR="00276A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were</w:t>
                            </w:r>
                            <w:r w:rsidR="00090F48" w:rsidRPr="00090F48">
                              <w:rPr>
                                <w:sz w:val="20"/>
                                <w:szCs w:val="20"/>
                              </w:rPr>
                              <w:t xml:space="preserve"> notified </w:t>
                            </w:r>
                            <w:r w:rsidR="0041266A">
                              <w:rPr>
                                <w:sz w:val="20"/>
                                <w:szCs w:val="20"/>
                              </w:rPr>
                              <w:t>in the metropolitan area</w:t>
                            </w:r>
                            <w:r w:rsidR="002E49F5">
                              <w:rPr>
                                <w:sz w:val="20"/>
                                <w:szCs w:val="20"/>
                              </w:rPr>
                              <w:t xml:space="preserve"> between July and August</w:t>
                            </w:r>
                            <w:r w:rsidR="00090F48" w:rsidRPr="00090F48">
                              <w:rPr>
                                <w:sz w:val="20"/>
                                <w:szCs w:val="20"/>
                              </w:rPr>
                              <w:t xml:space="preserve">. Ten of the 11 cases reported no recent </w:t>
                            </w:r>
                            <w:r w:rsidR="002E49F5" w:rsidRPr="00090F48">
                              <w:rPr>
                                <w:sz w:val="20"/>
                                <w:szCs w:val="20"/>
                              </w:rPr>
                              <w:t>travel</w:t>
                            </w:r>
                            <w:r w:rsidR="002E49F5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="008A1656">
                              <w:rPr>
                                <w:sz w:val="20"/>
                                <w:szCs w:val="20"/>
                              </w:rPr>
                              <w:t xml:space="preserve"> the case with overseas travel had a </w:t>
                            </w:r>
                            <w:r w:rsidR="008A16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Salmonella </w:t>
                            </w:r>
                            <w:r w:rsidR="008A1656">
                              <w:rPr>
                                <w:sz w:val="20"/>
                                <w:szCs w:val="20"/>
                              </w:rPr>
                              <w:t>co-infection</w:t>
                            </w:r>
                            <w:r w:rsidR="00090F48" w:rsidRPr="00090F4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A1656">
                              <w:rPr>
                                <w:sz w:val="20"/>
                                <w:szCs w:val="20"/>
                              </w:rPr>
                              <w:t xml:space="preserve">Cases were aged 12-76 years, with 10 males and 1 female affected. </w:t>
                            </w:r>
                            <w:r w:rsidR="00090F48" w:rsidRPr="00090F48">
                              <w:rPr>
                                <w:sz w:val="20"/>
                                <w:szCs w:val="20"/>
                              </w:rPr>
                              <w:t>No common venues or exposures were identified.</w:t>
                            </w:r>
                            <w:r w:rsidRPr="0026167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261678">
                              <w:rPr>
                                <w:sz w:val="20"/>
                                <w:szCs w:val="20"/>
                              </w:rPr>
                              <w:t xml:space="preserve">No hypothesis for cause of illness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was</w:t>
                            </w:r>
                            <w:r w:rsidRPr="00261678">
                              <w:rPr>
                                <w:sz w:val="20"/>
                                <w:szCs w:val="20"/>
                              </w:rPr>
                              <w:t xml:space="preserve"> established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5E77" id="_x0000_s1035" type="#_x0000_t202" style="position:absolute;margin-left:-43pt;margin-top:-19.15pt;width:528.25pt;height:25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" fillcolor="#d7dded [671]" stroked="f">
                <v:fill opacity="32896f"/>
                <v:textbox>
                  <w:txbxContent>
                    <w:p w:rsidR="0066016D" w:rsidRPr="0044132B" w:rsidRDefault="005D47ED" w:rsidP="0066016D">
                      <w:pPr>
                        <w:pStyle w:val="Caption"/>
                        <w:spacing w:after="120" w:line="240" w:lineRule="auto"/>
                        <w:rPr>
                          <w:sz w:val="20"/>
                        </w:rPr>
                      </w:pPr>
                      <w:r w:rsidRPr="00AC2225">
                        <w:rPr>
                          <w:color w:val="465E9C" w:themeColor="text2"/>
                          <w:sz w:val="20"/>
                        </w:rPr>
                        <w:t>Travel</w:t>
                      </w:r>
                      <w:r w:rsidR="00D050EF" w:rsidRPr="00AC2225">
                        <w:rPr>
                          <w:color w:val="465E9C" w:themeColor="text2"/>
                          <w:sz w:val="20"/>
                        </w:rPr>
                        <w:t xml:space="preserve"> associated infection</w:t>
                      </w:r>
                    </w:p>
                    <w:p w:rsidR="005D47ED" w:rsidRPr="0044132B" w:rsidRDefault="00B90697" w:rsidP="005D47ED">
                      <w:pPr>
                        <w:pStyle w:val="Caption"/>
                        <w:spacing w:line="240" w:lineRule="auto"/>
                        <w:rPr>
                          <w:b w:val="0"/>
                          <w:sz w:val="20"/>
                        </w:rPr>
                      </w:pPr>
                      <w:r w:rsidRPr="0044132B">
                        <w:rPr>
                          <w:b w:val="0"/>
                          <w:sz w:val="20"/>
                        </w:rPr>
                        <w:t xml:space="preserve">Overseas acquisition was reported in </w:t>
                      </w:r>
                      <w:r w:rsidR="0044132B" w:rsidRPr="0044132B">
                        <w:rPr>
                          <w:b w:val="0"/>
                          <w:sz w:val="20"/>
                        </w:rPr>
                        <w:t>296</w:t>
                      </w:r>
                      <w:r w:rsidR="00AC2225" w:rsidRPr="0044132B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44132B" w:rsidRPr="0044132B">
                        <w:rPr>
                          <w:b w:val="0"/>
                          <w:sz w:val="20"/>
                        </w:rPr>
                        <w:t>(17</w:t>
                      </w:r>
                      <w:r w:rsidR="0012565F" w:rsidRPr="0044132B">
                        <w:rPr>
                          <w:b w:val="0"/>
                          <w:sz w:val="20"/>
                        </w:rPr>
                        <w:t>%)</w:t>
                      </w:r>
                      <w:r w:rsidR="005D47ED" w:rsidRPr="0044132B">
                        <w:rPr>
                          <w:b w:val="0"/>
                          <w:sz w:val="20"/>
                        </w:rPr>
                        <w:t xml:space="preserve"> of enteric disease notifications </w:t>
                      </w:r>
                      <w:r w:rsidR="00D050EF" w:rsidRPr="0044132B">
                        <w:rPr>
                          <w:b w:val="0"/>
                          <w:sz w:val="20"/>
                        </w:rPr>
                        <w:t xml:space="preserve">in the </w:t>
                      </w:r>
                      <w:r w:rsidR="0044132B" w:rsidRPr="0044132B">
                        <w:rPr>
                          <w:b w:val="0"/>
                          <w:sz w:val="20"/>
                        </w:rPr>
                        <w:t>3</w:t>
                      </w:r>
                      <w:r w:rsidR="00D050EF" w:rsidRPr="0044132B">
                        <w:rPr>
                          <w:b w:val="0"/>
                          <w:sz w:val="20"/>
                        </w:rPr>
                        <w:t>Q19</w:t>
                      </w:r>
                      <w:r w:rsidR="005D47ED" w:rsidRPr="0044132B">
                        <w:rPr>
                          <w:b w:val="0"/>
                          <w:sz w:val="20"/>
                        </w:rPr>
                        <w:t xml:space="preserve">: </w:t>
                      </w:r>
                    </w:p>
                    <w:p w:rsidR="005D47ED" w:rsidRPr="0044132B" w:rsidRDefault="005D47ED" w:rsidP="005D47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4132B">
                        <w:rPr>
                          <w:sz w:val="20"/>
                          <w:szCs w:val="20"/>
                        </w:rPr>
                        <w:t xml:space="preserve">The most commonly reported country </w:t>
                      </w:r>
                      <w:r w:rsidR="0044132B" w:rsidRPr="0044132B">
                        <w:rPr>
                          <w:sz w:val="20"/>
                          <w:szCs w:val="20"/>
                        </w:rPr>
                        <w:t>of acquisition was Indonesia (67</w:t>
                      </w:r>
                      <w:r w:rsidRPr="0044132B">
                        <w:rPr>
                          <w:sz w:val="20"/>
                          <w:szCs w:val="20"/>
                        </w:rPr>
                        <w:t xml:space="preserve">%). </w:t>
                      </w:r>
                    </w:p>
                    <w:p w:rsidR="00ED02A8" w:rsidRPr="000102D1" w:rsidRDefault="00ED02A8" w:rsidP="005D47ED">
                      <w:pPr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</w:pPr>
                      <w:r w:rsidRPr="000102D1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Listeria</w:t>
                      </w:r>
                    </w:p>
                    <w:p w:rsidR="00ED02A8" w:rsidRP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ED02A8">
                        <w:rPr>
                          <w:sz w:val="20"/>
                          <w:szCs w:val="20"/>
                        </w:rPr>
                        <w:t xml:space="preserve">Two </w:t>
                      </w:r>
                      <w:r w:rsidR="008A1656" w:rsidRPr="000102D1">
                        <w:rPr>
                          <w:i/>
                          <w:sz w:val="20"/>
                          <w:szCs w:val="20"/>
                        </w:rPr>
                        <w:t>L</w:t>
                      </w:r>
                      <w:r w:rsidRPr="000102D1">
                        <w:rPr>
                          <w:i/>
                          <w:sz w:val="20"/>
                          <w:szCs w:val="20"/>
                        </w:rPr>
                        <w:t>isteria</w:t>
                      </w:r>
                      <w:r w:rsidRPr="00ED02A8">
                        <w:rPr>
                          <w:sz w:val="20"/>
                          <w:szCs w:val="20"/>
                        </w:rPr>
                        <w:t xml:space="preserve"> cases were notified in pregnant women in </w:t>
                      </w:r>
                      <w:r w:rsidR="007548BA">
                        <w:rPr>
                          <w:sz w:val="20"/>
                          <w:szCs w:val="20"/>
                        </w:rPr>
                        <w:t>August</w:t>
                      </w:r>
                      <w:r w:rsidRPr="00ED02A8">
                        <w:rPr>
                          <w:sz w:val="20"/>
                          <w:szCs w:val="20"/>
                        </w:rPr>
                        <w:t>.</w:t>
                      </w:r>
                      <w:r w:rsidR="007548BA">
                        <w:rPr>
                          <w:sz w:val="20"/>
                          <w:szCs w:val="20"/>
                        </w:rPr>
                        <w:t xml:space="preserve"> Both pregnancies were continuing at the time of interview. Isolates from the cases were different via whole genome sequencing, indicating a common source of infection was unlikely.</w:t>
                      </w:r>
                    </w:p>
                    <w:p w:rsidR="00E26D2C" w:rsidRPr="00760107" w:rsidRDefault="00E26D2C" w:rsidP="005D47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Shiga toxin producing </w:t>
                      </w:r>
                      <w:r w:rsidRPr="002255D7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:rsidR="0066016D" w:rsidRPr="00942C9D" w:rsidRDefault="00C3024C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Ten </w:t>
                      </w:r>
                      <w:r w:rsidR="0044132B" w:rsidRPr="00760107"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="0044132B" w:rsidRPr="00760107">
                        <w:rPr>
                          <w:sz w:val="20"/>
                          <w:szCs w:val="20"/>
                        </w:rPr>
                        <w:t xml:space="preserve"> 28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5233" w:rsidRPr="00760107">
                        <w:rPr>
                          <w:sz w:val="20"/>
                          <w:szCs w:val="20"/>
                        </w:rPr>
                        <w:t>notifications were culture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760107">
                        <w:rPr>
                          <w:sz w:val="20"/>
                          <w:szCs w:val="20"/>
                        </w:rPr>
                        <w:t>positive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>, the mos</w:t>
                      </w:r>
                      <w:r w:rsidR="00B90697" w:rsidRPr="00760107">
                        <w:rPr>
                          <w:sz w:val="20"/>
                          <w:szCs w:val="20"/>
                        </w:rPr>
                        <w:t>t common serotype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>s</w:t>
                      </w:r>
                      <w:r w:rsidR="00B04133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4C2" w:rsidRPr="00760107">
                        <w:rPr>
                          <w:sz w:val="20"/>
                          <w:szCs w:val="20"/>
                        </w:rPr>
                        <w:t>w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>ere</w:t>
                      </w:r>
                      <w:r w:rsidR="00B044C2" w:rsidRPr="00760107">
                        <w:rPr>
                          <w:sz w:val="20"/>
                          <w:szCs w:val="20"/>
                        </w:rPr>
                        <w:t xml:space="preserve"> O128</w:t>
                      </w:r>
                      <w:r w:rsidR="00D92EE3" w:rsidRPr="00760107">
                        <w:rPr>
                          <w:sz w:val="20"/>
                          <w:szCs w:val="20"/>
                        </w:rPr>
                        <w:t>:H2</w:t>
                      </w:r>
                      <w:r w:rsidR="00760107" w:rsidRPr="00760107">
                        <w:rPr>
                          <w:sz w:val="20"/>
                          <w:szCs w:val="20"/>
                        </w:rPr>
                        <w:t xml:space="preserve"> (n=</w:t>
                      </w:r>
                      <w:r w:rsidR="00802EC3">
                        <w:rPr>
                          <w:sz w:val="20"/>
                          <w:szCs w:val="20"/>
                        </w:rPr>
                        <w:t>4</w:t>
                      </w:r>
                      <w:r w:rsidR="00B04133" w:rsidRPr="00760107">
                        <w:rPr>
                          <w:sz w:val="20"/>
                          <w:szCs w:val="20"/>
                        </w:rPr>
                        <w:t>)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 xml:space="preserve"> and O157</w:t>
                      </w:r>
                      <w:r w:rsidR="00760107" w:rsidRPr="00760107">
                        <w:rPr>
                          <w:sz w:val="20"/>
                          <w:szCs w:val="20"/>
                        </w:rPr>
                        <w:t>:H7 (n=2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>)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 xml:space="preserve">. No point </w:t>
                      </w:r>
                      <w:r w:rsidR="005D47ED" w:rsidRPr="00C47BA2">
                        <w:rPr>
                          <w:sz w:val="20"/>
                          <w:szCs w:val="20"/>
                        </w:rPr>
                        <w:t>source outbreaks were identified</w:t>
                      </w:r>
                      <w:r w:rsidR="00D90AC2" w:rsidRPr="00C47BA2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C47BA2" w:rsidRPr="00C47BA2">
                        <w:rPr>
                          <w:sz w:val="20"/>
                          <w:szCs w:val="20"/>
                        </w:rPr>
                        <w:t>3</w:t>
                      </w:r>
                      <w:r w:rsidR="00D90AC2" w:rsidRPr="00C47BA2">
                        <w:rPr>
                          <w:sz w:val="20"/>
                          <w:szCs w:val="20"/>
                        </w:rPr>
                        <w:t>Q19</w:t>
                      </w:r>
                      <w:r w:rsidR="005D47ED" w:rsidRPr="00C47BA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84309" w:rsidRPr="00942C9D">
                        <w:rPr>
                          <w:sz w:val="20"/>
                          <w:szCs w:val="20"/>
                        </w:rPr>
                        <w:t xml:space="preserve">Some of the 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 xml:space="preserve">increase is likely due </w:t>
                      </w:r>
                      <w:r w:rsidR="000102D1">
                        <w:rPr>
                          <w:sz w:val="20"/>
                          <w:szCs w:val="20"/>
                        </w:rPr>
                        <w:t>to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942C9D">
                        <w:rPr>
                          <w:sz w:val="20"/>
                          <w:szCs w:val="20"/>
                        </w:rPr>
                        <w:t xml:space="preserve">PCR 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 xml:space="preserve">testing by one private </w:t>
                      </w:r>
                      <w:r w:rsidR="00B90697" w:rsidRPr="00942C9D">
                        <w:rPr>
                          <w:sz w:val="20"/>
                          <w:szCs w:val="20"/>
                        </w:rPr>
                        <w:t>laboratory</w:t>
                      </w:r>
                      <w:r w:rsidR="006414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656">
                        <w:rPr>
                          <w:sz w:val="20"/>
                          <w:szCs w:val="20"/>
                        </w:rPr>
                        <w:t>since</w:t>
                      </w:r>
                      <w:r w:rsidR="00784309" w:rsidRPr="00942C9D">
                        <w:rPr>
                          <w:sz w:val="20"/>
                          <w:szCs w:val="20"/>
                        </w:rPr>
                        <w:t xml:space="preserve"> the fourth quarter</w:t>
                      </w:r>
                      <w:r w:rsidR="006414C7">
                        <w:rPr>
                          <w:sz w:val="20"/>
                          <w:szCs w:val="20"/>
                        </w:rPr>
                        <w:t xml:space="preserve"> of</w:t>
                      </w:r>
                      <w:r w:rsidR="00784309" w:rsidRPr="00942C9D">
                        <w:rPr>
                          <w:sz w:val="20"/>
                          <w:szCs w:val="20"/>
                        </w:rPr>
                        <w:t xml:space="preserve"> 2018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00F2C" w:rsidRPr="00261678" w:rsidRDefault="00600F2C" w:rsidP="005D47ED">
                      <w:pPr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</w:pPr>
                      <w:r w:rsidRPr="00261678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Yersini</w:t>
                      </w:r>
                      <w:r w:rsidR="00923EA3" w:rsidRPr="00261678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a</w:t>
                      </w:r>
                    </w:p>
                    <w:p w:rsidR="00600F2C" w:rsidRDefault="00261678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Eleven</w:t>
                      </w:r>
                      <w:r w:rsidR="00090F48" w:rsidRPr="00090F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656">
                        <w:rPr>
                          <w:sz w:val="20"/>
                          <w:szCs w:val="20"/>
                        </w:rPr>
                        <w:t xml:space="preserve">cases of </w:t>
                      </w:r>
                      <w:r w:rsidR="00090F48" w:rsidRPr="00261678">
                        <w:rPr>
                          <w:i/>
                          <w:sz w:val="20"/>
                          <w:szCs w:val="20"/>
                        </w:rPr>
                        <w:t>Yersinia</w:t>
                      </w:r>
                      <w:r w:rsidR="008A1656" w:rsidRPr="00261678">
                        <w:rPr>
                          <w:i/>
                          <w:sz w:val="20"/>
                          <w:szCs w:val="20"/>
                        </w:rPr>
                        <w:t xml:space="preserve"> enterocolitica</w:t>
                      </w:r>
                      <w:r w:rsidR="00276AC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were</w:t>
                      </w:r>
                      <w:r w:rsidR="00090F48" w:rsidRPr="00090F48">
                        <w:rPr>
                          <w:sz w:val="20"/>
                          <w:szCs w:val="20"/>
                        </w:rPr>
                        <w:t xml:space="preserve"> notified </w:t>
                      </w:r>
                      <w:r w:rsidR="0041266A">
                        <w:rPr>
                          <w:sz w:val="20"/>
                          <w:szCs w:val="20"/>
                        </w:rPr>
                        <w:t>in the metropolitan area</w:t>
                      </w:r>
                      <w:r w:rsidR="002E49F5">
                        <w:rPr>
                          <w:sz w:val="20"/>
                          <w:szCs w:val="20"/>
                        </w:rPr>
                        <w:t xml:space="preserve"> between July and August</w:t>
                      </w:r>
                      <w:r w:rsidR="00090F48" w:rsidRPr="00090F48">
                        <w:rPr>
                          <w:sz w:val="20"/>
                          <w:szCs w:val="20"/>
                        </w:rPr>
                        <w:t xml:space="preserve">. Ten of the 11 cases reported no recent </w:t>
                      </w:r>
                      <w:r w:rsidR="002E49F5" w:rsidRPr="00090F48">
                        <w:rPr>
                          <w:sz w:val="20"/>
                          <w:szCs w:val="20"/>
                        </w:rPr>
                        <w:t>travel</w:t>
                      </w:r>
                      <w:r w:rsidR="002E49F5">
                        <w:rPr>
                          <w:sz w:val="20"/>
                          <w:szCs w:val="20"/>
                        </w:rPr>
                        <w:t>;</w:t>
                      </w:r>
                      <w:r w:rsidR="008A1656">
                        <w:rPr>
                          <w:sz w:val="20"/>
                          <w:szCs w:val="20"/>
                        </w:rPr>
                        <w:t xml:space="preserve"> the case with overseas travel had a </w:t>
                      </w:r>
                      <w:r w:rsidR="008A1656">
                        <w:rPr>
                          <w:i/>
                          <w:sz w:val="20"/>
                          <w:szCs w:val="20"/>
                        </w:rPr>
                        <w:t xml:space="preserve">Salmonella </w:t>
                      </w:r>
                      <w:r w:rsidR="008A1656">
                        <w:rPr>
                          <w:sz w:val="20"/>
                          <w:szCs w:val="20"/>
                        </w:rPr>
                        <w:t>co-infection</w:t>
                      </w:r>
                      <w:r w:rsidR="00090F48" w:rsidRPr="00090F4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8A1656">
                        <w:rPr>
                          <w:sz w:val="20"/>
                          <w:szCs w:val="20"/>
                        </w:rPr>
                        <w:t xml:space="preserve">Cases were aged 12-76 years, with 10 males and 1 female affected. </w:t>
                      </w:r>
                      <w:r w:rsidR="00090F48" w:rsidRPr="00090F48">
                        <w:rPr>
                          <w:sz w:val="20"/>
                          <w:szCs w:val="20"/>
                        </w:rPr>
                        <w:t>No common venues or exposures were identified.</w:t>
                      </w:r>
                      <w:r w:rsidRPr="00261678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261678">
                        <w:rPr>
                          <w:sz w:val="20"/>
                          <w:szCs w:val="20"/>
                        </w:rPr>
                        <w:t xml:space="preserve">No hypothesis for cause of illness </w:t>
                      </w:r>
                      <w:r>
                        <w:rPr>
                          <w:sz w:val="20"/>
                          <w:szCs w:val="20"/>
                        </w:rPr>
                        <w:t>was</w:t>
                      </w:r>
                      <w:r w:rsidRPr="00261678">
                        <w:rPr>
                          <w:sz w:val="20"/>
                          <w:szCs w:val="20"/>
                        </w:rPr>
                        <w:t xml:space="preserve"> established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727" w:rsidRDefault="00DB0727" w:rsidP="00B62E68">
      <w:pPr>
        <w:rPr>
          <w:b/>
          <w:color w:val="FF0000"/>
        </w:rPr>
      </w:pPr>
    </w:p>
    <w:p w:rsidR="00DB0727" w:rsidRPr="00DB0727" w:rsidRDefault="00DB0727" w:rsidP="00DB0727"/>
    <w:p w:rsidR="00DB0727" w:rsidRPr="00DB0727" w:rsidRDefault="00DB0727" w:rsidP="00DB0727"/>
    <w:p w:rsidR="00DB0727" w:rsidRDefault="00DB0727" w:rsidP="00DB0727"/>
    <w:p w:rsidR="00D173B1" w:rsidRPr="00DB0727" w:rsidRDefault="00D173B1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Default="00DB0727" w:rsidP="00DB0727"/>
    <w:p w:rsidR="00B0277F" w:rsidRDefault="00B0277F" w:rsidP="00DB0727"/>
    <w:p w:rsidR="00B0277F" w:rsidRDefault="00B0277F" w:rsidP="00DB0727"/>
    <w:p w:rsidR="00B0277F" w:rsidRPr="00DB0727" w:rsidRDefault="00B0277F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DB0727" w:rsidRDefault="00DB0727" w:rsidP="00DB0727"/>
    <w:p w:rsidR="00DB0727" w:rsidRDefault="00DB0727" w:rsidP="00DB0727"/>
    <w:p w:rsidR="005D47ED" w:rsidRPr="00DB0727" w:rsidRDefault="00DB0727" w:rsidP="00DB0727">
      <w:pPr>
        <w:tabs>
          <w:tab w:val="left" w:pos="1753"/>
        </w:tabs>
      </w:pPr>
      <w:r>
        <w:tab/>
      </w: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66" w:rsidRDefault="00F16266" w:rsidP="00F16266">
      <w:pPr>
        <w:spacing w:after="0"/>
      </w:pPr>
      <w:r>
        <w:separator/>
      </w:r>
    </w:p>
  </w:endnote>
  <w:endnote w:type="continuationSeparator" w:id="0">
    <w:p w:rsidR="00F16266" w:rsidRDefault="00F1626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66" w:rsidRDefault="00F16266" w:rsidP="00F16266">
      <w:pPr>
        <w:spacing w:after="0"/>
      </w:pPr>
      <w:r>
        <w:separator/>
      </w:r>
    </w:p>
  </w:footnote>
  <w:footnote w:type="continuationSeparator" w:id="0">
    <w:p w:rsidR="00F16266" w:rsidRDefault="00F1626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F0"/>
    <w:rsid w:val="000102D1"/>
    <w:rsid w:val="00070BEF"/>
    <w:rsid w:val="00090F48"/>
    <w:rsid w:val="0009316F"/>
    <w:rsid w:val="000A14BB"/>
    <w:rsid w:val="0012565F"/>
    <w:rsid w:val="0014114D"/>
    <w:rsid w:val="001437E0"/>
    <w:rsid w:val="00143F9C"/>
    <w:rsid w:val="00171B7B"/>
    <w:rsid w:val="001B7A2B"/>
    <w:rsid w:val="001C6153"/>
    <w:rsid w:val="001C7D1F"/>
    <w:rsid w:val="001F6030"/>
    <w:rsid w:val="001F68E9"/>
    <w:rsid w:val="00220E8F"/>
    <w:rsid w:val="002255D7"/>
    <w:rsid w:val="00230C04"/>
    <w:rsid w:val="0024249E"/>
    <w:rsid w:val="00243C14"/>
    <w:rsid w:val="00256108"/>
    <w:rsid w:val="00261678"/>
    <w:rsid w:val="00276AC9"/>
    <w:rsid w:val="002856CA"/>
    <w:rsid w:val="00286B46"/>
    <w:rsid w:val="002A1586"/>
    <w:rsid w:val="002C7D7D"/>
    <w:rsid w:val="002E49F5"/>
    <w:rsid w:val="002F24A7"/>
    <w:rsid w:val="00311B5E"/>
    <w:rsid w:val="003352B9"/>
    <w:rsid w:val="00355004"/>
    <w:rsid w:val="003929E7"/>
    <w:rsid w:val="0041266A"/>
    <w:rsid w:val="004175D4"/>
    <w:rsid w:val="004230AE"/>
    <w:rsid w:val="004276EA"/>
    <w:rsid w:val="0044132B"/>
    <w:rsid w:val="004453BF"/>
    <w:rsid w:val="00447A73"/>
    <w:rsid w:val="004659B0"/>
    <w:rsid w:val="00466DB9"/>
    <w:rsid w:val="00471692"/>
    <w:rsid w:val="00492250"/>
    <w:rsid w:val="004A609E"/>
    <w:rsid w:val="004C104B"/>
    <w:rsid w:val="004C2780"/>
    <w:rsid w:val="004C6976"/>
    <w:rsid w:val="005077EF"/>
    <w:rsid w:val="0056716B"/>
    <w:rsid w:val="005A3015"/>
    <w:rsid w:val="005A409E"/>
    <w:rsid w:val="005D47ED"/>
    <w:rsid w:val="00600F2C"/>
    <w:rsid w:val="0061606C"/>
    <w:rsid w:val="00627EBE"/>
    <w:rsid w:val="0064090A"/>
    <w:rsid w:val="006414C7"/>
    <w:rsid w:val="0064799B"/>
    <w:rsid w:val="0066016D"/>
    <w:rsid w:val="006E46C4"/>
    <w:rsid w:val="006F36F0"/>
    <w:rsid w:val="006F52D0"/>
    <w:rsid w:val="00712477"/>
    <w:rsid w:val="007548BA"/>
    <w:rsid w:val="00760107"/>
    <w:rsid w:val="0077027C"/>
    <w:rsid w:val="00784309"/>
    <w:rsid w:val="007D7512"/>
    <w:rsid w:val="007D793C"/>
    <w:rsid w:val="007F410D"/>
    <w:rsid w:val="00802EC3"/>
    <w:rsid w:val="008449C2"/>
    <w:rsid w:val="0087065F"/>
    <w:rsid w:val="00881846"/>
    <w:rsid w:val="00897837"/>
    <w:rsid w:val="008979F5"/>
    <w:rsid w:val="008A1656"/>
    <w:rsid w:val="008C56B7"/>
    <w:rsid w:val="008F7FE4"/>
    <w:rsid w:val="0090046F"/>
    <w:rsid w:val="0090693F"/>
    <w:rsid w:val="00923EA3"/>
    <w:rsid w:val="00926467"/>
    <w:rsid w:val="00930DF8"/>
    <w:rsid w:val="00931BD5"/>
    <w:rsid w:val="009342F3"/>
    <w:rsid w:val="00937EBD"/>
    <w:rsid w:val="00942C9D"/>
    <w:rsid w:val="009668ED"/>
    <w:rsid w:val="00967444"/>
    <w:rsid w:val="00981DA1"/>
    <w:rsid w:val="00990D6C"/>
    <w:rsid w:val="00995323"/>
    <w:rsid w:val="009B36C8"/>
    <w:rsid w:val="009C0445"/>
    <w:rsid w:val="009C4DAD"/>
    <w:rsid w:val="009D1723"/>
    <w:rsid w:val="009F648B"/>
    <w:rsid w:val="00A45954"/>
    <w:rsid w:val="00A54379"/>
    <w:rsid w:val="00A55B71"/>
    <w:rsid w:val="00A6066D"/>
    <w:rsid w:val="00A85810"/>
    <w:rsid w:val="00A868F6"/>
    <w:rsid w:val="00A91C4C"/>
    <w:rsid w:val="00AA22A0"/>
    <w:rsid w:val="00AA663C"/>
    <w:rsid w:val="00AB4670"/>
    <w:rsid w:val="00AC2225"/>
    <w:rsid w:val="00B0277F"/>
    <w:rsid w:val="00B04133"/>
    <w:rsid w:val="00B044C2"/>
    <w:rsid w:val="00B15A8E"/>
    <w:rsid w:val="00B266CE"/>
    <w:rsid w:val="00B35461"/>
    <w:rsid w:val="00B533A7"/>
    <w:rsid w:val="00B62E68"/>
    <w:rsid w:val="00B822B0"/>
    <w:rsid w:val="00B85270"/>
    <w:rsid w:val="00B90697"/>
    <w:rsid w:val="00BB2332"/>
    <w:rsid w:val="00BB48D3"/>
    <w:rsid w:val="00BB5682"/>
    <w:rsid w:val="00BD41EB"/>
    <w:rsid w:val="00BE1F4C"/>
    <w:rsid w:val="00BE3C2D"/>
    <w:rsid w:val="00BE50E9"/>
    <w:rsid w:val="00C3024C"/>
    <w:rsid w:val="00C37C4B"/>
    <w:rsid w:val="00C47BA2"/>
    <w:rsid w:val="00C53645"/>
    <w:rsid w:val="00C6252C"/>
    <w:rsid w:val="00C7143D"/>
    <w:rsid w:val="00C862D8"/>
    <w:rsid w:val="00C94695"/>
    <w:rsid w:val="00C95233"/>
    <w:rsid w:val="00CF64E2"/>
    <w:rsid w:val="00D034A9"/>
    <w:rsid w:val="00D050EF"/>
    <w:rsid w:val="00D147D4"/>
    <w:rsid w:val="00D173B1"/>
    <w:rsid w:val="00D514D4"/>
    <w:rsid w:val="00D723C4"/>
    <w:rsid w:val="00D90AC2"/>
    <w:rsid w:val="00D92EE3"/>
    <w:rsid w:val="00D9301F"/>
    <w:rsid w:val="00DB0727"/>
    <w:rsid w:val="00DC7646"/>
    <w:rsid w:val="00DE4BFE"/>
    <w:rsid w:val="00E065B7"/>
    <w:rsid w:val="00E26BEA"/>
    <w:rsid w:val="00E26D2C"/>
    <w:rsid w:val="00E40563"/>
    <w:rsid w:val="00E47483"/>
    <w:rsid w:val="00E7296E"/>
    <w:rsid w:val="00E82708"/>
    <w:rsid w:val="00E842C2"/>
    <w:rsid w:val="00E8491C"/>
    <w:rsid w:val="00EB6ED6"/>
    <w:rsid w:val="00ED02A8"/>
    <w:rsid w:val="00EE1546"/>
    <w:rsid w:val="00EE383C"/>
    <w:rsid w:val="00EE6AEC"/>
    <w:rsid w:val="00F16266"/>
    <w:rsid w:val="00F25D18"/>
    <w:rsid w:val="00FB1467"/>
    <w:rsid w:val="00FB2D91"/>
    <w:rsid w:val="00FB7719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9A0D"/>
  <w15:docId w15:val="{3D5CB51F-2D7A-4FFA-BF52-E56E76F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2.health.wa.gov.au/~/media/Files/Corporate/general%20documents/Infectious%20diseases/Word/OzFoodNet/WA-OzFoodnet-appendix1-2019-Q3.doc" TargetMode="External"/><Relationship Id="rId18" Type="http://schemas.openxmlformats.org/officeDocument/2006/relationships/hyperlink" Target="https://ww2.health.wa.gov.au/~/media/Files/Corporate/general%20documents/Infectious%20diseases/Word/OzFoodNet/WA-OzFoodnet-appendix2-2019-Q3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~/media/Files/Corporate/general%20documents/Infectious%20diseases/Word/OzFoodNet/WA-OzFoodnet-appendix1-2019-Q3.doc" TargetMode="External"/><Relationship Id="rId17" Type="http://schemas.openxmlformats.org/officeDocument/2006/relationships/hyperlink" Target="https://ww2.health.wa.gov.au/~/media/Files/Corporate/general%20documents/Infectious%20diseases/Word/OzFoodNet/WA-OzFoodnet-appendix2-2019-Q3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hdwa.health.wa.gov.au\shared\Public%20Health\CDCD\CDCD\Enteric\OzFoodNet%20Reports\Quarterly%20Reports\2019\3Q19\Chart%20in%20Microsoft%20Word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'Fig3'!$C$2</c:f>
              <c:strCache>
                <c:ptCount val="1"/>
                <c:pt idx="0">
                  <c:v>Community cases</c:v>
                </c:pt>
              </c:strCache>
            </c:strRef>
          </c:tx>
          <c:invertIfNegative val="0"/>
          <c:cat>
            <c:multiLvlStrRef>
              <c:f>'Fig3'!$A$23:$B$59</c:f>
              <c:multiLvlStrCache>
                <c:ptCount val="37"/>
                <c:lvl>
                  <c:pt idx="0">
                    <c:v>Sep</c:v>
                  </c:pt>
                  <c:pt idx="1">
                    <c:v>Oct</c:v>
                  </c:pt>
                  <c:pt idx="2">
                    <c:v>Nov</c:v>
                  </c:pt>
                  <c:pt idx="3">
                    <c:v>Dec</c:v>
                  </c:pt>
                  <c:pt idx="4">
                    <c:v>Jan</c:v>
                  </c:pt>
                  <c:pt idx="5">
                    <c:v>Feb</c:v>
                  </c:pt>
                  <c:pt idx="6">
                    <c:v>Mar</c:v>
                  </c:pt>
                  <c:pt idx="7">
                    <c:v>Apr</c:v>
                  </c:pt>
                  <c:pt idx="8">
                    <c:v>May</c:v>
                  </c:pt>
                  <c:pt idx="9">
                    <c:v>Jun</c:v>
                  </c:pt>
                  <c:pt idx="10">
                    <c:v>Jul</c:v>
                  </c:pt>
                  <c:pt idx="11">
                    <c:v>Aug</c:v>
                  </c:pt>
                  <c:pt idx="12">
                    <c:v>Sep</c:v>
                  </c:pt>
                  <c:pt idx="13">
                    <c:v>Oct</c:v>
                  </c:pt>
                  <c:pt idx="14">
                    <c:v>Nov</c:v>
                  </c:pt>
                  <c:pt idx="15">
                    <c:v>Dec</c:v>
                  </c:pt>
                  <c:pt idx="16">
                    <c:v>Jan</c:v>
                  </c:pt>
                  <c:pt idx="17">
                    <c:v>Feb</c:v>
                  </c:pt>
                  <c:pt idx="18">
                    <c:v>Mar</c:v>
                  </c:pt>
                  <c:pt idx="19">
                    <c:v>Apr</c:v>
                  </c:pt>
                  <c:pt idx="20">
                    <c:v>May</c:v>
                  </c:pt>
                  <c:pt idx="21">
                    <c:v>Jun</c:v>
                  </c:pt>
                  <c:pt idx="22">
                    <c:v>Jul</c:v>
                  </c:pt>
                  <c:pt idx="23">
                    <c:v>Aug</c:v>
                  </c:pt>
                  <c:pt idx="24">
                    <c:v>Sep</c:v>
                  </c:pt>
                  <c:pt idx="25">
                    <c:v>Oct</c:v>
                  </c:pt>
                  <c:pt idx="26">
                    <c:v>Nov</c:v>
                  </c:pt>
                  <c:pt idx="27">
                    <c:v>Dec</c:v>
                  </c:pt>
                  <c:pt idx="28">
                    <c:v>Jan</c:v>
                  </c:pt>
                  <c:pt idx="29">
                    <c:v>Feb</c:v>
                  </c:pt>
                  <c:pt idx="30">
                    <c:v>Mar</c:v>
                  </c:pt>
                  <c:pt idx="31">
                    <c:v>Apr</c:v>
                  </c:pt>
                  <c:pt idx="32">
                    <c:v>May</c:v>
                  </c:pt>
                  <c:pt idx="33">
                    <c:v>Jun</c:v>
                  </c:pt>
                  <c:pt idx="34">
                    <c:v>Jul</c:v>
                  </c:pt>
                  <c:pt idx="35">
                    <c:v>Aug</c:v>
                  </c:pt>
                  <c:pt idx="36">
                    <c:v>Sep</c:v>
                  </c:pt>
                </c:lvl>
                <c:lvl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'Fig3'!$C$23:$C$59</c:f>
              <c:numCache>
                <c:formatCode>General</c:formatCode>
                <c:ptCount val="37"/>
                <c:pt idx="0">
                  <c:v>1</c:v>
                </c:pt>
                <c:pt idx="1">
                  <c:v>4</c:v>
                </c:pt>
                <c:pt idx="2">
                  <c:v>28</c:v>
                </c:pt>
                <c:pt idx="3">
                  <c:v>38</c:v>
                </c:pt>
                <c:pt idx="4">
                  <c:v>69</c:v>
                </c:pt>
                <c:pt idx="5">
                  <c:v>65</c:v>
                </c:pt>
                <c:pt idx="6">
                  <c:v>86</c:v>
                </c:pt>
                <c:pt idx="7">
                  <c:v>50</c:v>
                </c:pt>
                <c:pt idx="8">
                  <c:v>41</c:v>
                </c:pt>
                <c:pt idx="9">
                  <c:v>26</c:v>
                </c:pt>
                <c:pt idx="10">
                  <c:v>25</c:v>
                </c:pt>
                <c:pt idx="11">
                  <c:v>27</c:v>
                </c:pt>
                <c:pt idx="12">
                  <c:v>22</c:v>
                </c:pt>
                <c:pt idx="13">
                  <c:v>27</c:v>
                </c:pt>
                <c:pt idx="14">
                  <c:v>33</c:v>
                </c:pt>
                <c:pt idx="15">
                  <c:v>21</c:v>
                </c:pt>
                <c:pt idx="16">
                  <c:v>25</c:v>
                </c:pt>
                <c:pt idx="17">
                  <c:v>21</c:v>
                </c:pt>
                <c:pt idx="18">
                  <c:v>25</c:v>
                </c:pt>
                <c:pt idx="19">
                  <c:v>28</c:v>
                </c:pt>
                <c:pt idx="20">
                  <c:v>57</c:v>
                </c:pt>
                <c:pt idx="21">
                  <c:v>37</c:v>
                </c:pt>
                <c:pt idx="22">
                  <c:v>31</c:v>
                </c:pt>
                <c:pt idx="23">
                  <c:v>29</c:v>
                </c:pt>
                <c:pt idx="24">
                  <c:v>16</c:v>
                </c:pt>
                <c:pt idx="25">
                  <c:v>9</c:v>
                </c:pt>
                <c:pt idx="26">
                  <c:v>22</c:v>
                </c:pt>
                <c:pt idx="27">
                  <c:v>16</c:v>
                </c:pt>
                <c:pt idx="28">
                  <c:v>16</c:v>
                </c:pt>
                <c:pt idx="29">
                  <c:v>24</c:v>
                </c:pt>
                <c:pt idx="30">
                  <c:v>24</c:v>
                </c:pt>
                <c:pt idx="31">
                  <c:v>41</c:v>
                </c:pt>
                <c:pt idx="32">
                  <c:v>30</c:v>
                </c:pt>
                <c:pt idx="33">
                  <c:v>26</c:v>
                </c:pt>
                <c:pt idx="34">
                  <c:v>21</c:v>
                </c:pt>
                <c:pt idx="35">
                  <c:v>12</c:v>
                </c:pt>
                <c:pt idx="3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66-476D-9AF5-7BD8A6A6ACB1}"/>
            </c:ext>
          </c:extLst>
        </c:ser>
        <c:ser>
          <c:idx val="2"/>
          <c:order val="1"/>
          <c:tx>
            <c:strRef>
              <c:f>'Fig3'!$D$2</c:f>
              <c:strCache>
                <c:ptCount val="1"/>
                <c:pt idx="0">
                  <c:v>Point-source outbreak cases</c:v>
                </c:pt>
              </c:strCache>
            </c:strRef>
          </c:tx>
          <c:invertIfNegative val="0"/>
          <c:cat>
            <c:multiLvlStrRef>
              <c:f>'Fig3'!$A$23:$B$59</c:f>
              <c:multiLvlStrCache>
                <c:ptCount val="37"/>
                <c:lvl>
                  <c:pt idx="0">
                    <c:v>Sep</c:v>
                  </c:pt>
                  <c:pt idx="1">
                    <c:v>Oct</c:v>
                  </c:pt>
                  <c:pt idx="2">
                    <c:v>Nov</c:v>
                  </c:pt>
                  <c:pt idx="3">
                    <c:v>Dec</c:v>
                  </c:pt>
                  <c:pt idx="4">
                    <c:v>Jan</c:v>
                  </c:pt>
                  <c:pt idx="5">
                    <c:v>Feb</c:v>
                  </c:pt>
                  <c:pt idx="6">
                    <c:v>Mar</c:v>
                  </c:pt>
                  <c:pt idx="7">
                    <c:v>Apr</c:v>
                  </c:pt>
                  <c:pt idx="8">
                    <c:v>May</c:v>
                  </c:pt>
                  <c:pt idx="9">
                    <c:v>Jun</c:v>
                  </c:pt>
                  <c:pt idx="10">
                    <c:v>Jul</c:v>
                  </c:pt>
                  <c:pt idx="11">
                    <c:v>Aug</c:v>
                  </c:pt>
                  <c:pt idx="12">
                    <c:v>Sep</c:v>
                  </c:pt>
                  <c:pt idx="13">
                    <c:v>Oct</c:v>
                  </c:pt>
                  <c:pt idx="14">
                    <c:v>Nov</c:v>
                  </c:pt>
                  <c:pt idx="15">
                    <c:v>Dec</c:v>
                  </c:pt>
                  <c:pt idx="16">
                    <c:v>Jan</c:v>
                  </c:pt>
                  <c:pt idx="17">
                    <c:v>Feb</c:v>
                  </c:pt>
                  <c:pt idx="18">
                    <c:v>Mar</c:v>
                  </c:pt>
                  <c:pt idx="19">
                    <c:v>Apr</c:v>
                  </c:pt>
                  <c:pt idx="20">
                    <c:v>May</c:v>
                  </c:pt>
                  <c:pt idx="21">
                    <c:v>Jun</c:v>
                  </c:pt>
                  <c:pt idx="22">
                    <c:v>Jul</c:v>
                  </c:pt>
                  <c:pt idx="23">
                    <c:v>Aug</c:v>
                  </c:pt>
                  <c:pt idx="24">
                    <c:v>Sep</c:v>
                  </c:pt>
                  <c:pt idx="25">
                    <c:v>Oct</c:v>
                  </c:pt>
                  <c:pt idx="26">
                    <c:v>Nov</c:v>
                  </c:pt>
                  <c:pt idx="27">
                    <c:v>Dec</c:v>
                  </c:pt>
                  <c:pt idx="28">
                    <c:v>Jan</c:v>
                  </c:pt>
                  <c:pt idx="29">
                    <c:v>Feb</c:v>
                  </c:pt>
                  <c:pt idx="30">
                    <c:v>Mar</c:v>
                  </c:pt>
                  <c:pt idx="31">
                    <c:v>Apr</c:v>
                  </c:pt>
                  <c:pt idx="32">
                    <c:v>May</c:v>
                  </c:pt>
                  <c:pt idx="33">
                    <c:v>Jun</c:v>
                  </c:pt>
                  <c:pt idx="34">
                    <c:v>Jul</c:v>
                  </c:pt>
                  <c:pt idx="35">
                    <c:v>Aug</c:v>
                  </c:pt>
                  <c:pt idx="36">
                    <c:v>Sep</c:v>
                  </c:pt>
                </c:lvl>
                <c:lvl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'Fig3'!$D$23:$D$59</c:f>
              <c:numCache>
                <c:formatCode>General</c:formatCode>
                <c:ptCount val="37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15</c:v>
                </c:pt>
                <c:pt idx="5">
                  <c:v>28</c:v>
                </c:pt>
                <c:pt idx="6">
                  <c:v>35</c:v>
                </c:pt>
                <c:pt idx="7">
                  <c:v>1</c:v>
                </c:pt>
                <c:pt idx="8">
                  <c:v>5</c:v>
                </c:pt>
                <c:pt idx="9">
                  <c:v>8</c:v>
                </c:pt>
                <c:pt idx="10">
                  <c:v>0</c:v>
                </c:pt>
                <c:pt idx="11">
                  <c:v>14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10</c:v>
                </c:pt>
                <c:pt idx="16">
                  <c:v>28</c:v>
                </c:pt>
                <c:pt idx="17">
                  <c:v>9</c:v>
                </c:pt>
                <c:pt idx="18">
                  <c:v>3</c:v>
                </c:pt>
                <c:pt idx="19">
                  <c:v>8</c:v>
                </c:pt>
                <c:pt idx="20">
                  <c:v>23</c:v>
                </c:pt>
                <c:pt idx="21">
                  <c:v>1</c:v>
                </c:pt>
                <c:pt idx="22">
                  <c:v>7</c:v>
                </c:pt>
                <c:pt idx="23">
                  <c:v>2</c:v>
                </c:pt>
                <c:pt idx="24">
                  <c:v>1</c:v>
                </c:pt>
                <c:pt idx="25">
                  <c:v>0</c:v>
                </c:pt>
                <c:pt idx="26">
                  <c:v>7</c:v>
                </c:pt>
                <c:pt idx="27">
                  <c:v>16</c:v>
                </c:pt>
                <c:pt idx="28">
                  <c:v>8</c:v>
                </c:pt>
                <c:pt idx="29">
                  <c:v>3</c:v>
                </c:pt>
                <c:pt idx="30">
                  <c:v>2</c:v>
                </c:pt>
                <c:pt idx="31">
                  <c:v>4</c:v>
                </c:pt>
                <c:pt idx="32">
                  <c:v>2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66-476D-9AF5-7BD8A6A6A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888320"/>
        <c:axId val="36021760"/>
      </c:barChart>
      <c:catAx>
        <c:axId val="78888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 and month of onset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6021760"/>
        <c:crosses val="autoZero"/>
        <c:auto val="1"/>
        <c:lblAlgn val="ctr"/>
        <c:lblOffset val="100"/>
        <c:noMultiLvlLbl val="0"/>
      </c:catAx>
      <c:valAx>
        <c:axId val="360217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notifications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888832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4034282514685867"/>
          <c:y val="0.1322207006732854"/>
          <c:w val="0.2165209615374166"/>
          <c:h val="0.29592817889837808"/>
        </c:manualLayout>
      </c:layout>
      <c:overlay val="1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0.00986</cdr:x>
      <cdr:y>0.93211</cdr:y>
    </cdr:from>
    <cdr:to>
      <cdr:x>0.24522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604" y="2579110"/>
          <a:ext cx="1398886" cy="1878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AU" sz="800" b="0" i="0">
              <a:effectLst/>
              <a:latin typeface="+mn-lt"/>
              <a:ea typeface="+mn-ea"/>
              <a:cs typeface="+mn-cs"/>
            </a:rPr>
            <a:t>© WA Department of Health 2019</a:t>
          </a:r>
          <a:endParaRPr lang="en-AU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4C08-C456-4B66-9CC6-9A50C02B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Witham, Benjamin</cp:lastModifiedBy>
  <cp:revision>7</cp:revision>
  <dcterms:created xsi:type="dcterms:W3CDTF">2019-12-19T01:21:00Z</dcterms:created>
  <dcterms:modified xsi:type="dcterms:W3CDTF">2020-04-07T04:38:00Z</dcterms:modified>
</cp:coreProperties>
</file>