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66" w:rsidRDefault="00C6252C" w:rsidP="001F6030">
      <w:r w:rsidRPr="006F36F0">
        <w:rPr>
          <w:noProof/>
          <w:lang w:eastAsia="en-AU"/>
        </w:rPr>
        <mc:AlternateContent>
          <mc:Choice Requires="wps">
            <w:drawing>
              <wp:anchor distT="0" distB="0" distL="114300" distR="114300" simplePos="0" relativeHeight="251651072" behindDoc="0" locked="0" layoutInCell="1" allowOverlap="1" wp14:anchorId="6369AB6B" wp14:editId="67E224B3">
                <wp:simplePos x="0" y="0"/>
                <wp:positionH relativeFrom="column">
                  <wp:posOffset>-1351280</wp:posOffset>
                </wp:positionH>
                <wp:positionV relativeFrom="paragraph">
                  <wp:posOffset>-175260</wp:posOffset>
                </wp:positionV>
                <wp:extent cx="8340725" cy="381635"/>
                <wp:effectExtent l="0" t="0" r="0" b="0"/>
                <wp:wrapNone/>
                <wp:docPr id="6" name="TextBox 5"/>
                <wp:cNvGraphicFramePr/>
                <a:graphic xmlns:a="http://schemas.openxmlformats.org/drawingml/2006/main">
                  <a:graphicData uri="http://schemas.microsoft.com/office/word/2010/wordprocessingShape">
                    <wps:wsp>
                      <wps:cNvSpPr txBox="1"/>
                      <wps:spPr>
                        <a:xfrm>
                          <a:off x="0" y="0"/>
                          <a:ext cx="8340725" cy="381635"/>
                        </a:xfrm>
                        <a:prstGeom prst="rect">
                          <a:avLst/>
                        </a:prstGeom>
                        <a:noFill/>
                      </wps:spPr>
                      <wps:txbx>
                        <w:txbxContent>
                          <w:p w:rsidR="006F36F0" w:rsidRPr="0090693F" w:rsidRDefault="006F36F0" w:rsidP="006F36F0">
                            <w:pPr>
                              <w:pStyle w:val="NormalWeb"/>
                              <w:spacing w:before="0" w:beforeAutospacing="0" w:after="0" w:afterAutospacing="0"/>
                              <w:jc w:val="center"/>
                              <w:rPr>
                                <w:rFonts w:ascii="Arial" w:hAnsi="Arial" w:cs="Arial"/>
                                <w:b/>
                                <w:color w:val="465E9C" w:themeColor="text2"/>
                                <w:sz w:val="34"/>
                                <w:szCs w:val="34"/>
                              </w:rPr>
                            </w:pPr>
                            <w:r w:rsidRPr="0090693F">
                              <w:rPr>
                                <w:rFonts w:ascii="Arial" w:hAnsi="Arial" w:cs="Arial"/>
                                <w:b/>
                                <w:bCs/>
                                <w:color w:val="465E9C" w:themeColor="text2"/>
                                <w:kern w:val="24"/>
                                <w:sz w:val="34"/>
                                <w:szCs w:val="34"/>
                              </w:rPr>
                              <w:t>OzFoodNet Ente</w:t>
                            </w:r>
                            <w:r w:rsidR="002A1586" w:rsidRPr="0090693F">
                              <w:rPr>
                                <w:rFonts w:ascii="Arial" w:hAnsi="Arial" w:cs="Arial"/>
                                <w:b/>
                                <w:bCs/>
                                <w:color w:val="465E9C" w:themeColor="text2"/>
                                <w:kern w:val="24"/>
                                <w:sz w:val="34"/>
                                <w:szCs w:val="34"/>
                              </w:rPr>
                              <w:t xml:space="preserve">ric Disease Surveillance Report </w:t>
                            </w:r>
                            <w:r w:rsidRPr="0090693F">
                              <w:rPr>
                                <w:rFonts w:ascii="Arial" w:hAnsi="Arial" w:cs="Arial"/>
                                <w:b/>
                                <w:bCs/>
                                <w:color w:val="465E9C" w:themeColor="text2"/>
                                <w:kern w:val="24"/>
                                <w:sz w:val="34"/>
                                <w:szCs w:val="34"/>
                              </w:rPr>
                              <w:t>1</w:t>
                            </w:r>
                            <w:r w:rsidRPr="0090693F">
                              <w:rPr>
                                <w:rFonts w:ascii="Arial" w:hAnsi="Arial" w:cs="Arial"/>
                                <w:b/>
                                <w:bCs/>
                                <w:color w:val="465E9C" w:themeColor="text2"/>
                                <w:kern w:val="24"/>
                                <w:sz w:val="34"/>
                                <w:szCs w:val="34"/>
                                <w:vertAlign w:val="superscript"/>
                              </w:rPr>
                              <w:t>st</w:t>
                            </w:r>
                            <w:r w:rsidRPr="0090693F">
                              <w:rPr>
                                <w:rFonts w:ascii="Arial" w:hAnsi="Arial" w:cs="Arial"/>
                                <w:b/>
                                <w:bCs/>
                                <w:color w:val="465E9C" w:themeColor="text2"/>
                                <w:kern w:val="24"/>
                                <w:sz w:val="34"/>
                                <w:szCs w:val="34"/>
                              </w:rPr>
                              <w:t xml:space="preserve"> Quarter 2019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369AB6B" id="_x0000_t202" coordsize="21600,21600" o:spt="202" path="m,l,21600r21600,l21600,xe">
                <v:stroke joinstyle="miter"/>
                <v:path gradientshapeok="t" o:connecttype="rect"/>
              </v:shapetype>
              <v:shape id="TextBox 5" o:spid="_x0000_s1026" type="#_x0000_t202" style="position:absolute;margin-left:-106.4pt;margin-top:-13.8pt;width:656.75pt;height:3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" filled="f" stroked="f">
                <v:textbox>
                  <w:txbxContent>
                    <w:p w:rsidR="006F36F0" w:rsidRPr="0090693F" w:rsidRDefault="006F36F0" w:rsidP="006F36F0">
                      <w:pPr>
                        <w:pStyle w:val="NormalWeb"/>
                        <w:spacing w:before="0" w:beforeAutospacing="0" w:after="0" w:afterAutospacing="0"/>
                        <w:jc w:val="center"/>
                        <w:rPr>
                          <w:rFonts w:ascii="Arial" w:hAnsi="Arial" w:cs="Arial"/>
                          <w:b/>
                          <w:color w:val="465E9C" w:themeColor="text2"/>
                          <w:sz w:val="34"/>
                          <w:szCs w:val="34"/>
                        </w:rPr>
                      </w:pPr>
                      <w:r w:rsidRPr="0090693F">
                        <w:rPr>
                          <w:rFonts w:ascii="Arial" w:hAnsi="Arial" w:cs="Arial"/>
                          <w:b/>
                          <w:bCs/>
                          <w:color w:val="465E9C" w:themeColor="text2"/>
                          <w:kern w:val="24"/>
                          <w:sz w:val="34"/>
                          <w:szCs w:val="34"/>
                        </w:rPr>
                        <w:t>OzFoodNet Ente</w:t>
                      </w:r>
                      <w:r w:rsidR="002A1586" w:rsidRPr="0090693F">
                        <w:rPr>
                          <w:rFonts w:ascii="Arial" w:hAnsi="Arial" w:cs="Arial"/>
                          <w:b/>
                          <w:bCs/>
                          <w:color w:val="465E9C" w:themeColor="text2"/>
                          <w:kern w:val="24"/>
                          <w:sz w:val="34"/>
                          <w:szCs w:val="34"/>
                        </w:rPr>
                        <w:t xml:space="preserve">ric Disease Surveillance Report </w:t>
                      </w:r>
                      <w:r w:rsidRPr="0090693F">
                        <w:rPr>
                          <w:rFonts w:ascii="Arial" w:hAnsi="Arial" w:cs="Arial"/>
                          <w:b/>
                          <w:bCs/>
                          <w:color w:val="465E9C" w:themeColor="text2"/>
                          <w:kern w:val="24"/>
                          <w:sz w:val="34"/>
                          <w:szCs w:val="34"/>
                        </w:rPr>
                        <w:t>1</w:t>
                      </w:r>
                      <w:r w:rsidRPr="0090693F">
                        <w:rPr>
                          <w:rFonts w:ascii="Arial" w:hAnsi="Arial" w:cs="Arial"/>
                          <w:b/>
                          <w:bCs/>
                          <w:color w:val="465E9C" w:themeColor="text2"/>
                          <w:kern w:val="24"/>
                          <w:sz w:val="34"/>
                          <w:szCs w:val="34"/>
                          <w:vertAlign w:val="superscript"/>
                        </w:rPr>
                        <w:t>st</w:t>
                      </w:r>
                      <w:r w:rsidRPr="0090693F">
                        <w:rPr>
                          <w:rFonts w:ascii="Arial" w:hAnsi="Arial" w:cs="Arial"/>
                          <w:b/>
                          <w:bCs/>
                          <w:color w:val="465E9C" w:themeColor="text2"/>
                          <w:kern w:val="24"/>
                          <w:sz w:val="34"/>
                          <w:szCs w:val="34"/>
                        </w:rPr>
                        <w:t xml:space="preserve"> Quarter 2019</w:t>
                      </w:r>
                    </w:p>
                  </w:txbxContent>
                </v:textbox>
              </v:shape>
            </w:pict>
          </mc:Fallback>
        </mc:AlternateContent>
      </w:r>
      <w:r w:rsidR="00BE50E9">
        <w:rPr>
          <w:noProof/>
          <w:lang w:eastAsia="en-AU"/>
        </w:rPr>
        <mc:AlternateContent>
          <mc:Choice Requires="wps">
            <w:drawing>
              <wp:anchor distT="0" distB="0" distL="114300" distR="114300" simplePos="0" relativeHeight="251630592" behindDoc="0" locked="0" layoutInCell="1" allowOverlap="1" wp14:anchorId="4CA348FA" wp14:editId="2F337058">
                <wp:simplePos x="0" y="0"/>
                <wp:positionH relativeFrom="column">
                  <wp:posOffset>-565150</wp:posOffset>
                </wp:positionH>
                <wp:positionV relativeFrom="paragraph">
                  <wp:posOffset>205740</wp:posOffset>
                </wp:positionV>
                <wp:extent cx="6867525" cy="946150"/>
                <wp:effectExtent l="0" t="0" r="952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46150"/>
                        </a:xfrm>
                        <a:prstGeom prst="rect">
                          <a:avLst/>
                        </a:prstGeom>
                        <a:solidFill>
                          <a:schemeClr val="tx2">
                            <a:lumMod val="20000"/>
                            <a:lumOff val="80000"/>
                          </a:schemeClr>
                        </a:solidFill>
                        <a:ln w="9525">
                          <a:noFill/>
                          <a:miter lim="800000"/>
                          <a:headEnd/>
                          <a:tailEnd/>
                        </a:ln>
                      </wps:spPr>
                      <wps:txbx>
                        <w:txbxContent>
                          <w:p w:rsidR="00D050EF" w:rsidRPr="00BB48D3" w:rsidRDefault="00926467">
                            <w:pPr>
                              <w:rPr>
                                <w:rFonts w:cs="Arial"/>
                                <w:color w:val="000000" w:themeColor="text1"/>
                                <w:sz w:val="20"/>
                                <w:szCs w:val="20"/>
                              </w:rPr>
                            </w:pPr>
                            <w:r w:rsidRPr="00BB48D3">
                              <w:rPr>
                                <w:rFonts w:eastAsia="Calibri" w:cs="Arial"/>
                                <w:color w:val="000000" w:themeColor="text1"/>
                                <w:sz w:val="20"/>
                                <w:szCs w:val="20"/>
                              </w:rPr>
                              <w:t>This report describes enteric disease surveillance and investigations carried out during the first quarter of 201</w:t>
                            </w:r>
                            <w:r w:rsidR="00D050EF" w:rsidRPr="00BB48D3">
                              <w:rPr>
                                <w:rFonts w:eastAsia="Calibri" w:cs="Arial"/>
                                <w:color w:val="000000" w:themeColor="text1"/>
                                <w:sz w:val="20"/>
                                <w:szCs w:val="20"/>
                              </w:rPr>
                              <w:t>9 (1Q19)</w:t>
                            </w:r>
                            <w:r w:rsidRPr="00BB48D3">
                              <w:rPr>
                                <w:rFonts w:eastAsia="Calibri" w:cs="Arial"/>
                                <w:color w:val="000000" w:themeColor="text1"/>
                                <w:sz w:val="20"/>
                                <w:szCs w:val="20"/>
                              </w:rPr>
                              <w:t xml:space="preserve"> by OzFoodNet WA in conjunction with other Western Australian Department of Health agencies and local governments.</w:t>
                            </w:r>
                            <w:r w:rsidRPr="00BB48D3">
                              <w:rPr>
                                <w:rFonts w:cs="Arial"/>
                                <w:color w:val="000000" w:themeColor="text1"/>
                                <w:sz w:val="20"/>
                                <w:szCs w:val="20"/>
                              </w:rPr>
                              <w:t xml:space="preserve"> </w:t>
                            </w:r>
                          </w:p>
                          <w:p w:rsidR="006F36F0" w:rsidRPr="00BB48D3" w:rsidRDefault="00926467">
                            <w:pPr>
                              <w:rPr>
                                <w:rFonts w:cs="Arial"/>
                                <w:color w:val="000000" w:themeColor="text1"/>
                                <w:szCs w:val="24"/>
                              </w:rPr>
                            </w:pPr>
                            <w:r w:rsidRPr="00BB48D3">
                              <w:rPr>
                                <w:rFonts w:cs="Arial"/>
                                <w:color w:val="000000" w:themeColor="text1"/>
                                <w:sz w:val="20"/>
                                <w:szCs w:val="20"/>
                              </w:rPr>
                              <w:t>Some of the increase in notifications is likely to be due to the introduction of polymerase chain reaction (PCR) testing of faecal specimens which has greater sensitivity than culture techniques.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348FA" id="Text Box 2" o:spid="_x0000_s1027" type="#_x0000_t202" style="position:absolute;margin-left:-44.5pt;margin-top:16.2pt;width:540.75pt;height:7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" fillcolor="#d7dded [671]" stroked="f">
                <v:textbox>
                  <w:txbxContent>
                    <w:p w:rsidR="00D050EF" w:rsidRPr="00BB48D3" w:rsidRDefault="00926467">
                      <w:pPr>
                        <w:rPr>
                          <w:rFonts w:cs="Arial"/>
                          <w:color w:val="000000" w:themeColor="text1"/>
                          <w:sz w:val="20"/>
                          <w:szCs w:val="20"/>
                        </w:rPr>
                      </w:pPr>
                      <w:r w:rsidRPr="00BB48D3">
                        <w:rPr>
                          <w:rFonts w:eastAsia="Calibri" w:cs="Arial"/>
                          <w:color w:val="000000" w:themeColor="text1"/>
                          <w:sz w:val="20"/>
                          <w:szCs w:val="20"/>
                        </w:rPr>
                        <w:t>This report describes enteric disease surveillance and investigations carried out during the first quarter of 201</w:t>
                      </w:r>
                      <w:r w:rsidR="00D050EF" w:rsidRPr="00BB48D3">
                        <w:rPr>
                          <w:rFonts w:eastAsia="Calibri" w:cs="Arial"/>
                          <w:color w:val="000000" w:themeColor="text1"/>
                          <w:sz w:val="20"/>
                          <w:szCs w:val="20"/>
                        </w:rPr>
                        <w:t>9 (1Q19)</w:t>
                      </w:r>
                      <w:r w:rsidRPr="00BB48D3">
                        <w:rPr>
                          <w:rFonts w:eastAsia="Calibri" w:cs="Arial"/>
                          <w:color w:val="000000" w:themeColor="text1"/>
                          <w:sz w:val="20"/>
                          <w:szCs w:val="20"/>
                        </w:rPr>
                        <w:t xml:space="preserve"> by OzFoodNet WA in conjunction with other Western Australian Department of Health agencies and local governments.</w:t>
                      </w:r>
                      <w:r w:rsidRPr="00BB48D3">
                        <w:rPr>
                          <w:rFonts w:cs="Arial"/>
                          <w:color w:val="000000" w:themeColor="text1"/>
                          <w:sz w:val="20"/>
                          <w:szCs w:val="20"/>
                        </w:rPr>
                        <w:t xml:space="preserve"> </w:t>
                      </w:r>
                    </w:p>
                    <w:p w:rsidR="006F36F0" w:rsidRPr="00BB48D3" w:rsidRDefault="00926467">
                      <w:pPr>
                        <w:rPr>
                          <w:rFonts w:cs="Arial"/>
                          <w:color w:val="000000" w:themeColor="text1"/>
                          <w:szCs w:val="24"/>
                        </w:rPr>
                      </w:pPr>
                      <w:r w:rsidRPr="00BB48D3">
                        <w:rPr>
                          <w:rFonts w:cs="Arial"/>
                          <w:color w:val="000000" w:themeColor="text1"/>
                          <w:sz w:val="20"/>
                          <w:szCs w:val="20"/>
                        </w:rPr>
                        <w:t>Some of the increase in notifications is likely to be due to the introduction of polymerase chain reaction (PCR) testing of faecal specimens which has greater sensitivity than culture techniques.</w:t>
                      </w:r>
                    </w:p>
                  </w:txbxContent>
                </v:textbox>
              </v:shape>
            </w:pict>
          </mc:Fallback>
        </mc:AlternateContent>
      </w:r>
      <w:r w:rsidR="00BE50E9" w:rsidRPr="00FC2612">
        <w:rPr>
          <w:noProof/>
          <w:color w:val="899BCA" w:themeColor="text2" w:themeTint="99"/>
          <w:sz w:val="44"/>
          <w:szCs w:val="44"/>
          <w:lang w:eastAsia="en-AU"/>
        </w:rPr>
        <mc:AlternateContent>
          <mc:Choice Requires="wps">
            <w:drawing>
              <wp:anchor distT="0" distB="0" distL="114300" distR="114300" simplePos="0" relativeHeight="251655168" behindDoc="0" locked="0" layoutInCell="1" allowOverlap="1" wp14:anchorId="78B8CBA4" wp14:editId="6469382E">
                <wp:simplePos x="0" y="0"/>
                <wp:positionH relativeFrom="column">
                  <wp:posOffset>4831715</wp:posOffset>
                </wp:positionH>
                <wp:positionV relativeFrom="paragraph">
                  <wp:posOffset>-591820</wp:posOffset>
                </wp:positionV>
                <wp:extent cx="1884045" cy="321945"/>
                <wp:effectExtent l="0" t="0" r="1905" b="190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586" w:rsidRPr="002A3F93" w:rsidRDefault="002A1586" w:rsidP="002A1586">
                            <w:pPr>
                              <w:rPr>
                                <w:b/>
                                <w:sz w:val="18"/>
                                <w:szCs w:val="18"/>
                              </w:rPr>
                            </w:pPr>
                            <w:r>
                              <w:rPr>
                                <w:rFonts w:cs="Arial"/>
                                <w:b/>
                                <w:sz w:val="18"/>
                                <w:szCs w:val="18"/>
                              </w:rPr>
                              <w:t>Enhancing foodborne disease surveillance a</w:t>
                            </w:r>
                            <w:r w:rsidRPr="002A3F93">
                              <w:rPr>
                                <w:rFonts w:cs="Arial"/>
                                <w:b/>
                                <w:sz w:val="18"/>
                                <w:szCs w:val="18"/>
                              </w:rPr>
                              <w:t>cross Australia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CBA4" id="Text Box 7" o:spid="_x0000_s1028" type="#_x0000_t202" style="position:absolute;margin-left:380.45pt;margin-top:-46.6pt;width:148.35pt;height:2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" stroked="f">
                <v:textbox inset=".5mm,.3mm,.5mm,.3mm">
                  <w:txbxContent>
                    <w:p w:rsidR="002A1586" w:rsidRPr="002A3F93" w:rsidRDefault="002A1586" w:rsidP="002A1586">
                      <w:pPr>
                        <w:rPr>
                          <w:b/>
                          <w:sz w:val="18"/>
                          <w:szCs w:val="18"/>
                        </w:rPr>
                      </w:pPr>
                      <w:r>
                        <w:rPr>
                          <w:rFonts w:cs="Arial"/>
                          <w:b/>
                          <w:sz w:val="18"/>
                          <w:szCs w:val="18"/>
                        </w:rPr>
                        <w:t>Enhancing foodborne disease surveillance a</w:t>
                      </w:r>
                      <w:r w:rsidRPr="002A3F93">
                        <w:rPr>
                          <w:rFonts w:cs="Arial"/>
                          <w:b/>
                          <w:sz w:val="18"/>
                          <w:szCs w:val="18"/>
                        </w:rPr>
                        <w:t>cross Australia</w:t>
                      </w:r>
                    </w:p>
                  </w:txbxContent>
                </v:textbox>
              </v:shape>
            </w:pict>
          </mc:Fallback>
        </mc:AlternateContent>
      </w:r>
      <w:r w:rsidR="00BE50E9" w:rsidRPr="005504C9">
        <w:rPr>
          <w:noProof/>
          <w:lang w:eastAsia="en-AU"/>
        </w:rPr>
        <w:drawing>
          <wp:anchor distT="0" distB="0" distL="114300" distR="114300" simplePos="0" relativeHeight="251653120" behindDoc="0" locked="0" layoutInCell="1" allowOverlap="1" wp14:anchorId="339D223D" wp14:editId="2E375CB9">
            <wp:simplePos x="0" y="0"/>
            <wp:positionH relativeFrom="column">
              <wp:posOffset>3977640</wp:posOffset>
            </wp:positionH>
            <wp:positionV relativeFrom="paragraph">
              <wp:posOffset>-720090</wp:posOffset>
            </wp:positionV>
            <wp:extent cx="837565" cy="532130"/>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565" cy="5321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E50E9">
        <w:rPr>
          <w:noProof/>
          <w:lang w:eastAsia="en-AU"/>
        </w:rPr>
        <w:drawing>
          <wp:anchor distT="0" distB="0" distL="114300" distR="114300" simplePos="0" relativeHeight="251649024" behindDoc="0" locked="0" layoutInCell="1" allowOverlap="1" wp14:anchorId="1CECE187" wp14:editId="4694B3FC">
            <wp:simplePos x="0" y="0"/>
            <wp:positionH relativeFrom="column">
              <wp:posOffset>-786765</wp:posOffset>
            </wp:positionH>
            <wp:positionV relativeFrom="paragraph">
              <wp:posOffset>-632984</wp:posOffset>
            </wp:positionV>
            <wp:extent cx="2423160" cy="445135"/>
            <wp:effectExtent l="0" t="0" r="0" b="0"/>
            <wp:wrapNone/>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160" cy="445135"/>
                    </a:xfrm>
                    <a:prstGeom prst="rect">
                      <a:avLst/>
                    </a:prstGeom>
                  </pic:spPr>
                </pic:pic>
              </a:graphicData>
            </a:graphic>
            <wp14:sizeRelH relativeFrom="page">
              <wp14:pctWidth>0</wp14:pctWidth>
            </wp14:sizeRelH>
            <wp14:sizeRelV relativeFrom="page">
              <wp14:pctHeight>0</wp14:pctHeight>
            </wp14:sizeRelV>
          </wp:anchor>
        </w:drawing>
      </w:r>
    </w:p>
    <w:p w:rsidR="00F16266" w:rsidRDefault="00B70DAF">
      <w:pPr>
        <w:spacing w:after="200" w:line="276" w:lineRule="auto"/>
      </w:pPr>
      <w:r>
        <w:rPr>
          <w:noProof/>
          <w:lang w:eastAsia="en-AU"/>
        </w:rPr>
        <w:drawing>
          <wp:anchor distT="0" distB="0" distL="114300" distR="114300" simplePos="0" relativeHeight="251644928" behindDoc="0" locked="0" layoutInCell="1" allowOverlap="1" wp14:anchorId="74CC2730" wp14:editId="57084B68">
            <wp:simplePos x="0" y="0"/>
            <wp:positionH relativeFrom="column">
              <wp:posOffset>438785</wp:posOffset>
            </wp:positionH>
            <wp:positionV relativeFrom="paragraph">
              <wp:posOffset>4405853</wp:posOffset>
            </wp:positionV>
            <wp:extent cx="4821382" cy="384663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1382" cy="3846635"/>
                    </a:xfrm>
                    <a:prstGeom prst="rect">
                      <a:avLst/>
                    </a:prstGeom>
                    <a:noFill/>
                  </pic:spPr>
                </pic:pic>
              </a:graphicData>
            </a:graphic>
            <wp14:sizeRelH relativeFrom="page">
              <wp14:pctWidth>0</wp14:pctWidth>
            </wp14:sizeRelH>
            <wp14:sizeRelV relativeFrom="page">
              <wp14:pctHeight>0</wp14:pctHeight>
            </wp14:sizeRelV>
          </wp:anchor>
        </w:drawing>
      </w:r>
      <w:r w:rsidR="00637658">
        <w:rPr>
          <w:b/>
          <w:noProof/>
          <w:color w:val="FF0000"/>
          <w:lang w:eastAsia="en-AU"/>
        </w:rPr>
        <mc:AlternateContent>
          <mc:Choice Requires="wps">
            <w:drawing>
              <wp:anchor distT="0" distB="0" distL="114300" distR="114300" simplePos="0" relativeHeight="251638784" behindDoc="0" locked="0" layoutInCell="1" allowOverlap="1" wp14:anchorId="7BA910E3" wp14:editId="1FF9BDE4">
                <wp:simplePos x="0" y="0"/>
                <wp:positionH relativeFrom="column">
                  <wp:posOffset>-563880</wp:posOffset>
                </wp:positionH>
                <wp:positionV relativeFrom="paragraph">
                  <wp:posOffset>8104917</wp:posOffset>
                </wp:positionV>
                <wp:extent cx="6852285" cy="516577"/>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52285" cy="5165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7658" w:rsidRPr="00B70DAF" w:rsidRDefault="00637658" w:rsidP="00637658">
                            <w:pPr>
                              <w:rPr>
                                <w:rFonts w:ascii="Calibri" w:hAnsi="Calibri"/>
                                <w:sz w:val="16"/>
                              </w:rPr>
                            </w:pPr>
                            <w:r w:rsidRPr="00B70DAF">
                              <w:rPr>
                                <w:rFonts w:ascii="Calibri" w:eastAsia="+mn-ea" w:hAnsi="Calibri" w:cs="+mn-cs"/>
                                <w:b/>
                                <w:bCs/>
                                <w:color w:val="465E9C" w:themeColor="text2"/>
                                <w:kern w:val="24"/>
                                <w:sz w:val="22"/>
                                <w:szCs w:val="32"/>
                                <w:lang w:eastAsia="en-AU"/>
                              </w:rPr>
                              <w:t xml:space="preserve">Appendix 1 </w:t>
                            </w:r>
                            <w:r w:rsidR="00B70DAF" w:rsidRPr="00B70DAF">
                              <w:rPr>
                                <w:rFonts w:ascii="Calibri" w:eastAsia="+mn-ea" w:hAnsi="Calibri" w:cs="+mn-cs"/>
                                <w:bCs/>
                                <w:color w:val="465E9C" w:themeColor="text2"/>
                                <w:kern w:val="24"/>
                                <w:sz w:val="22"/>
                                <w:szCs w:val="32"/>
                                <w:lang w:eastAsia="en-AU"/>
                              </w:rPr>
                              <w:t>Enteric d</w:t>
                            </w:r>
                            <w:r w:rsidRPr="00B70DAF">
                              <w:rPr>
                                <w:rFonts w:ascii="Calibri" w:eastAsia="+mn-ea" w:hAnsi="Calibri" w:cs="+mn-cs"/>
                                <w:bCs/>
                                <w:color w:val="465E9C" w:themeColor="text2"/>
                                <w:kern w:val="24"/>
                                <w:sz w:val="22"/>
                                <w:szCs w:val="32"/>
                                <w:lang w:eastAsia="en-AU"/>
                              </w:rPr>
                              <w:t>iseases by public health region:</w:t>
                            </w:r>
                            <w:r w:rsidRPr="00B70DAF">
                              <w:rPr>
                                <w:rFonts w:ascii="Calibri" w:hAnsi="Calibri"/>
                                <w:color w:val="005B38"/>
                                <w:sz w:val="14"/>
                              </w:rPr>
                              <w:t xml:space="preserve"> </w:t>
                            </w:r>
                            <w:hyperlink r:id="rId11" w:history="1">
                              <w:r w:rsidRPr="00B70DAF">
                                <w:rPr>
                                  <w:rStyle w:val="Hyperlink"/>
                                  <w:rFonts w:ascii="Calibri" w:hAnsi="Calibri"/>
                                  <w:color w:val="auto"/>
                                  <w:sz w:val="16"/>
                                </w:rPr>
                                <w:t>https://ww2.health.wa.gov.au/~/media/Files/Corporate/general%20documents/Infectious%20diseases/Word/OzFoodNet/WA-OzFoodnet-appendix1-2019-Q1.doc</w:t>
                              </w:r>
                            </w:hyperlink>
                            <w:r w:rsidRPr="00B70DAF">
                              <w:rPr>
                                <w:rFonts w:ascii="Calibri" w:hAnsi="Calibr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910E3" id="Text Box 21" o:spid="_x0000_s1029" type="#_x0000_t202" style="position:absolute;margin-left:-44.4pt;margin-top:638.2pt;width:539.55pt;height:40.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" filled="f" stroked="f" strokeweight=".5pt">
                <v:textbox>
                  <w:txbxContent>
                    <w:p w:rsidR="00637658" w:rsidRPr="00B70DAF" w:rsidRDefault="00637658" w:rsidP="00637658">
                      <w:pPr>
                        <w:rPr>
                          <w:rFonts w:ascii="Calibri" w:hAnsi="Calibri"/>
                          <w:sz w:val="16"/>
                        </w:rPr>
                      </w:pPr>
                      <w:r w:rsidRPr="00B70DAF">
                        <w:rPr>
                          <w:rFonts w:ascii="Calibri" w:eastAsia="+mn-ea" w:hAnsi="Calibri" w:cs="+mn-cs"/>
                          <w:b/>
                          <w:bCs/>
                          <w:color w:val="465E9C" w:themeColor="text2"/>
                          <w:kern w:val="24"/>
                          <w:sz w:val="22"/>
                          <w:szCs w:val="32"/>
                          <w:lang w:eastAsia="en-AU"/>
                        </w:rPr>
                        <w:t xml:space="preserve">Appendix 1 </w:t>
                      </w:r>
                      <w:r w:rsidR="00B70DAF" w:rsidRPr="00B70DAF">
                        <w:rPr>
                          <w:rFonts w:ascii="Calibri" w:eastAsia="+mn-ea" w:hAnsi="Calibri" w:cs="+mn-cs"/>
                          <w:bCs/>
                          <w:color w:val="465E9C" w:themeColor="text2"/>
                          <w:kern w:val="24"/>
                          <w:sz w:val="22"/>
                          <w:szCs w:val="32"/>
                          <w:lang w:eastAsia="en-AU"/>
                        </w:rPr>
                        <w:t>Enteric d</w:t>
                      </w:r>
                      <w:r w:rsidRPr="00B70DAF">
                        <w:rPr>
                          <w:rFonts w:ascii="Calibri" w:eastAsia="+mn-ea" w:hAnsi="Calibri" w:cs="+mn-cs"/>
                          <w:bCs/>
                          <w:color w:val="465E9C" w:themeColor="text2"/>
                          <w:kern w:val="24"/>
                          <w:sz w:val="22"/>
                          <w:szCs w:val="32"/>
                          <w:lang w:eastAsia="en-AU"/>
                        </w:rPr>
                        <w:t>iseases by public health region:</w:t>
                      </w:r>
                      <w:r w:rsidRPr="00B70DAF">
                        <w:rPr>
                          <w:rFonts w:ascii="Calibri" w:hAnsi="Calibri"/>
                          <w:color w:val="005B38"/>
                          <w:sz w:val="14"/>
                        </w:rPr>
                        <w:t xml:space="preserve"> </w:t>
                      </w:r>
                      <w:hyperlink r:id="rId12" w:history="1">
                        <w:r w:rsidRPr="00B70DAF">
                          <w:rPr>
                            <w:rStyle w:val="Hyperlink"/>
                            <w:rFonts w:ascii="Calibri" w:hAnsi="Calibri"/>
                            <w:color w:val="auto"/>
                            <w:sz w:val="16"/>
                          </w:rPr>
                          <w:t>https://ww2.health.wa.gov.au/~/media/Files/Corporate/general%20documents/Infectious%20diseases/Word/OzFoodNet/WA-OzFoodnet-appendix1-2019-Q1.doc</w:t>
                        </w:r>
                      </w:hyperlink>
                      <w:r w:rsidRPr="00B70DAF">
                        <w:rPr>
                          <w:rFonts w:ascii="Calibri" w:hAnsi="Calibri"/>
                          <w:sz w:val="16"/>
                        </w:rPr>
                        <w:t xml:space="preserve"> </w:t>
                      </w:r>
                    </w:p>
                  </w:txbxContent>
                </v:textbox>
              </v:shape>
            </w:pict>
          </mc:Fallback>
        </mc:AlternateContent>
      </w:r>
      <w:r w:rsidR="00BE50E9">
        <w:rPr>
          <w:noProof/>
          <w:lang w:eastAsia="en-AU"/>
        </w:rPr>
        <mc:AlternateContent>
          <mc:Choice Requires="wps">
            <w:drawing>
              <wp:anchor distT="0" distB="0" distL="114300" distR="114300" simplePos="0" relativeHeight="251646976" behindDoc="0" locked="0" layoutInCell="1" allowOverlap="1" wp14:anchorId="4AF69D2F" wp14:editId="71F8E73E">
                <wp:simplePos x="0" y="0"/>
                <wp:positionH relativeFrom="column">
                  <wp:posOffset>-581025</wp:posOffset>
                </wp:positionH>
                <wp:positionV relativeFrom="paragraph">
                  <wp:posOffset>8582025</wp:posOffset>
                </wp:positionV>
                <wp:extent cx="6885305" cy="52451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524510"/>
                        </a:xfrm>
                        <a:prstGeom prst="rect">
                          <a:avLst/>
                        </a:prstGeom>
                        <a:noFill/>
                        <a:ln w="9525">
                          <a:noFill/>
                          <a:miter lim="800000"/>
                          <a:headEnd/>
                          <a:tailEnd/>
                        </a:ln>
                      </wps:spPr>
                      <wps:txbx>
                        <w:txbxContent>
                          <w:p w:rsidR="00D723C4" w:rsidRPr="0024249E" w:rsidRDefault="00BE50E9" w:rsidP="0024249E">
                            <w:pPr>
                              <w:rPr>
                                <w:sz w:val="16"/>
                              </w:rPr>
                            </w:pPr>
                            <w:r>
                              <w:rPr>
                                <w:szCs w:val="24"/>
                              </w:rPr>
                              <w:t>*</w:t>
                            </w:r>
                            <w:r w:rsidR="00D723C4" w:rsidRPr="0024249E">
                              <w:rPr>
                                <w:sz w:val="16"/>
                              </w:rPr>
                              <w:t>Percentage change in the number of notifications in the current quarter compared to the historical 5-year mean for the same quarter. Positive values indicate an increase when compared to the historical 5-year mean of the same quarter. Negative values indicate a decrease when compared to the historical 5-year mean of the same quarter. Percentage change should be interpreted with caution when the number of cases is small.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69D2F" id="_x0000_s1030" type="#_x0000_t202" style="position:absolute;margin-left:-45.75pt;margin-top:675.75pt;width:542.15pt;height:4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" filled="f" stroked="f">
                <v:textbox>
                  <w:txbxContent>
                    <w:p w:rsidR="00D723C4" w:rsidRPr="0024249E" w:rsidRDefault="00BE50E9" w:rsidP="0024249E">
                      <w:pPr>
                        <w:rPr>
                          <w:sz w:val="16"/>
                        </w:rPr>
                      </w:pPr>
                      <w:r>
                        <w:rPr>
                          <w:szCs w:val="24"/>
                        </w:rPr>
                        <w:t>*</w:t>
                      </w:r>
                      <w:r w:rsidR="00D723C4" w:rsidRPr="0024249E">
                        <w:rPr>
                          <w:sz w:val="16"/>
                        </w:rPr>
                        <w:t>Percentage change in the number of notifications in the current quarter compared to the historical 5-year mean for the same quarter. Positive values indicate an increase when compared to the historical 5-year mean of the same quarter. Negative values indicate a decrease when compared to the historical 5-year mean of the same quarter. Percentage change should be interpreted with caution when the number of cases is small.</w:t>
                      </w:r>
                    </w:p>
                  </w:txbxContent>
                </v:textbox>
              </v:shape>
            </w:pict>
          </mc:Fallback>
        </mc:AlternateContent>
      </w:r>
      <w:r w:rsidR="00BE50E9">
        <w:rPr>
          <w:noProof/>
          <w:lang w:eastAsia="en-AU"/>
        </w:rPr>
        <mc:AlternateContent>
          <mc:Choice Requires="wps">
            <w:drawing>
              <wp:anchor distT="0" distB="0" distL="114300" distR="114300" simplePos="0" relativeHeight="251634688" behindDoc="0" locked="0" layoutInCell="1" allowOverlap="1" wp14:anchorId="60F28B0B" wp14:editId="53CD019B">
                <wp:simplePos x="0" y="0"/>
                <wp:positionH relativeFrom="column">
                  <wp:posOffset>-580445</wp:posOffset>
                </wp:positionH>
                <wp:positionV relativeFrom="paragraph">
                  <wp:posOffset>4090007</wp:posOffset>
                </wp:positionV>
                <wp:extent cx="6868795" cy="4492487"/>
                <wp:effectExtent l="0" t="0" r="825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4492487"/>
                        </a:xfrm>
                        <a:prstGeom prst="rect">
                          <a:avLst/>
                        </a:prstGeom>
                        <a:solidFill>
                          <a:schemeClr val="tx2">
                            <a:lumMod val="20000"/>
                            <a:lumOff val="80000"/>
                            <a:alpha val="50000"/>
                          </a:schemeClr>
                        </a:solidFill>
                        <a:ln w="9525">
                          <a:noFill/>
                          <a:miter lim="800000"/>
                          <a:headEnd/>
                          <a:tailEnd/>
                        </a:ln>
                      </wps:spPr>
                      <wps:txbx>
                        <w:txbxContent>
                          <w:p w:rsidR="00F16266" w:rsidRPr="002A1586" w:rsidRDefault="00F16266" w:rsidP="00F16266">
                            <w:pPr>
                              <w:jc w:val="center"/>
                              <w:rPr>
                                <w:rFonts w:ascii="Calibri" w:eastAsia="+mn-ea" w:hAnsi="Calibri" w:cs="+mn-cs"/>
                                <w:b/>
                                <w:bCs/>
                                <w:color w:val="465E9C" w:themeColor="text2"/>
                                <w:kern w:val="24"/>
                                <w:sz w:val="32"/>
                                <w:szCs w:val="32"/>
                                <w:lang w:eastAsia="en-AU"/>
                              </w:rPr>
                            </w:pPr>
                            <w:r w:rsidRPr="002A1586">
                              <w:rPr>
                                <w:rFonts w:ascii="Calibri" w:eastAsia="+mn-ea" w:hAnsi="Calibri" w:cs="+mn-cs"/>
                                <w:b/>
                                <w:bCs/>
                                <w:color w:val="465E9C" w:themeColor="text2"/>
                                <w:kern w:val="24"/>
                                <w:sz w:val="32"/>
                                <w:szCs w:val="32"/>
                                <w:lang w:eastAsia="en-AU"/>
                              </w:rPr>
                              <w:t>Change in enteric disease notifications (%)</w:t>
                            </w:r>
                            <w:r w:rsidR="0024249E" w:rsidRPr="002A1586">
                              <w:rPr>
                                <w:rFonts w:ascii="Calibri" w:eastAsia="+mn-ea" w:hAnsi="Calibri" w:cs="+mn-cs"/>
                                <w:b/>
                                <w:bCs/>
                                <w:color w:val="465E9C" w:themeColor="text2"/>
                                <w:kern w:val="24"/>
                                <w:sz w:val="28"/>
                                <w:szCs w:val="32"/>
                                <w:lang w:eastAsia="en-AU"/>
                              </w:rPr>
                              <w:t>*</w:t>
                            </w:r>
                          </w:p>
                          <w:p w:rsidR="00F16266" w:rsidRDefault="00F16266" w:rsidP="00F162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28B0B" id="_x0000_s1031" type="#_x0000_t202" style="position:absolute;margin-left:-45.7pt;margin-top:322.05pt;width:540.85pt;height:35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" fillcolor="#d7dded [671]" stroked="f">
                <v:fill opacity="32896f"/>
                <v:textbox>
                  <w:txbxContent>
                    <w:p w:rsidR="00F16266" w:rsidRPr="002A1586" w:rsidRDefault="00F16266" w:rsidP="00F16266">
                      <w:pPr>
                        <w:jc w:val="center"/>
                        <w:rPr>
                          <w:rFonts w:ascii="Calibri" w:eastAsia="+mn-ea" w:hAnsi="Calibri" w:cs="+mn-cs"/>
                          <w:b/>
                          <w:bCs/>
                          <w:color w:val="465E9C" w:themeColor="text2"/>
                          <w:kern w:val="24"/>
                          <w:sz w:val="32"/>
                          <w:szCs w:val="32"/>
                          <w:lang w:eastAsia="en-AU"/>
                        </w:rPr>
                      </w:pPr>
                      <w:r w:rsidRPr="002A1586">
                        <w:rPr>
                          <w:rFonts w:ascii="Calibri" w:eastAsia="+mn-ea" w:hAnsi="Calibri" w:cs="+mn-cs"/>
                          <w:b/>
                          <w:bCs/>
                          <w:color w:val="465E9C" w:themeColor="text2"/>
                          <w:kern w:val="24"/>
                          <w:sz w:val="32"/>
                          <w:szCs w:val="32"/>
                          <w:lang w:eastAsia="en-AU"/>
                        </w:rPr>
                        <w:t>Change in enteric disease notifications (%)</w:t>
                      </w:r>
                      <w:r w:rsidR="0024249E" w:rsidRPr="002A1586">
                        <w:rPr>
                          <w:rFonts w:ascii="Calibri" w:eastAsia="+mn-ea" w:hAnsi="Calibri" w:cs="+mn-cs"/>
                          <w:b/>
                          <w:bCs/>
                          <w:color w:val="465E9C" w:themeColor="text2"/>
                          <w:kern w:val="24"/>
                          <w:sz w:val="28"/>
                          <w:szCs w:val="32"/>
                          <w:lang w:eastAsia="en-AU"/>
                        </w:rPr>
                        <w:t>*</w:t>
                      </w:r>
                    </w:p>
                    <w:p w:rsidR="00F16266" w:rsidRDefault="00F16266" w:rsidP="00F16266"/>
                  </w:txbxContent>
                </v:textbox>
              </v:shape>
            </w:pict>
          </mc:Fallback>
        </mc:AlternateContent>
      </w:r>
      <w:r w:rsidR="00BE50E9">
        <w:rPr>
          <w:noProof/>
          <w:lang w:eastAsia="en-AU"/>
        </w:rPr>
        <w:drawing>
          <wp:anchor distT="0" distB="0" distL="114300" distR="114300" simplePos="0" relativeHeight="251642880" behindDoc="0" locked="0" layoutInCell="1" allowOverlap="1" wp14:anchorId="6A84B821" wp14:editId="0098B969">
            <wp:simplePos x="0" y="0"/>
            <wp:positionH relativeFrom="column">
              <wp:posOffset>818515</wp:posOffset>
            </wp:positionH>
            <wp:positionV relativeFrom="paragraph">
              <wp:posOffset>1291590</wp:posOffset>
            </wp:positionV>
            <wp:extent cx="4078605" cy="26536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8605" cy="2653665"/>
                    </a:xfrm>
                    <a:prstGeom prst="rect">
                      <a:avLst/>
                    </a:prstGeom>
                    <a:noFill/>
                  </pic:spPr>
                </pic:pic>
              </a:graphicData>
            </a:graphic>
            <wp14:sizeRelH relativeFrom="page">
              <wp14:pctWidth>0</wp14:pctWidth>
            </wp14:sizeRelH>
            <wp14:sizeRelV relativeFrom="page">
              <wp14:pctHeight>0</wp14:pctHeight>
            </wp14:sizeRelV>
          </wp:anchor>
        </w:drawing>
      </w:r>
      <w:r w:rsidR="00BE50E9">
        <w:rPr>
          <w:noProof/>
          <w:lang w:eastAsia="en-AU"/>
        </w:rPr>
        <mc:AlternateContent>
          <mc:Choice Requires="wps">
            <w:drawing>
              <wp:anchor distT="0" distB="0" distL="114300" distR="114300" simplePos="0" relativeHeight="251632640" behindDoc="0" locked="0" layoutInCell="1" allowOverlap="1" wp14:anchorId="7E0DA870" wp14:editId="6D03D2D6">
                <wp:simplePos x="0" y="0"/>
                <wp:positionH relativeFrom="column">
                  <wp:posOffset>-564543</wp:posOffset>
                </wp:positionH>
                <wp:positionV relativeFrom="paragraph">
                  <wp:posOffset>1004901</wp:posOffset>
                </wp:positionV>
                <wp:extent cx="6867525" cy="294957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949575"/>
                        </a:xfrm>
                        <a:prstGeom prst="rect">
                          <a:avLst/>
                        </a:prstGeom>
                        <a:solidFill>
                          <a:schemeClr val="tx2">
                            <a:lumMod val="20000"/>
                            <a:lumOff val="80000"/>
                            <a:alpha val="50000"/>
                          </a:schemeClr>
                        </a:solidFill>
                        <a:ln w="9525">
                          <a:noFill/>
                          <a:miter lim="800000"/>
                          <a:headEnd/>
                          <a:tailEnd/>
                        </a:ln>
                      </wps:spPr>
                      <wps:txbx>
                        <w:txbxContent>
                          <w:p w:rsidR="006F36F0" w:rsidRPr="002A1586" w:rsidRDefault="006F36F0" w:rsidP="00F16266">
                            <w:pPr>
                              <w:spacing w:after="0"/>
                              <w:jc w:val="center"/>
                              <w:rPr>
                                <w:rFonts w:ascii="Times New Roman" w:eastAsia="Times New Roman" w:hAnsi="Times New Roman" w:cs="Times New Roman"/>
                                <w:color w:val="465E9C" w:themeColor="text2"/>
                                <w:sz w:val="32"/>
                                <w:szCs w:val="32"/>
                                <w:lang w:eastAsia="en-AU"/>
                              </w:rPr>
                            </w:pPr>
                            <w:r w:rsidRPr="002A1586">
                              <w:rPr>
                                <w:rFonts w:ascii="Calibri" w:eastAsia="+mn-ea" w:hAnsi="Calibri" w:cs="+mn-cs"/>
                                <w:b/>
                                <w:bCs/>
                                <w:color w:val="465E9C" w:themeColor="text2"/>
                                <w:kern w:val="24"/>
                                <w:sz w:val="32"/>
                                <w:szCs w:val="32"/>
                                <w:lang w:eastAsia="en-AU"/>
                              </w:rPr>
                              <w:t>Most common enteric disease notifications in Quarter 1 2019</w:t>
                            </w:r>
                          </w:p>
                          <w:p w:rsidR="006F36F0" w:rsidRDefault="006F36F0" w:rsidP="00DC764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DA870" id="_x0000_s1032" type="#_x0000_t202" style="position:absolute;margin-left:-44.45pt;margin-top:79.15pt;width:540.75pt;height:23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" fillcolor="#d7dded [671]" stroked="f">
                <v:fill opacity="32896f"/>
                <v:textbox>
                  <w:txbxContent>
                    <w:p w:rsidR="006F36F0" w:rsidRPr="002A1586" w:rsidRDefault="006F36F0" w:rsidP="00F16266">
                      <w:pPr>
                        <w:spacing w:after="0"/>
                        <w:jc w:val="center"/>
                        <w:rPr>
                          <w:rFonts w:ascii="Times New Roman" w:eastAsia="Times New Roman" w:hAnsi="Times New Roman" w:cs="Times New Roman"/>
                          <w:color w:val="465E9C" w:themeColor="text2"/>
                          <w:sz w:val="32"/>
                          <w:szCs w:val="32"/>
                          <w:lang w:eastAsia="en-AU"/>
                        </w:rPr>
                      </w:pPr>
                      <w:r w:rsidRPr="002A1586">
                        <w:rPr>
                          <w:rFonts w:ascii="Calibri" w:eastAsia="+mn-ea" w:hAnsi="Calibri" w:cs="+mn-cs"/>
                          <w:b/>
                          <w:bCs/>
                          <w:color w:val="465E9C" w:themeColor="text2"/>
                          <w:kern w:val="24"/>
                          <w:sz w:val="32"/>
                          <w:szCs w:val="32"/>
                          <w:lang w:eastAsia="en-AU"/>
                        </w:rPr>
                        <w:t>Most common enteric disease notifications in Quarter 1 2019</w:t>
                      </w:r>
                    </w:p>
                    <w:p w:rsidR="006F36F0" w:rsidRDefault="006F36F0" w:rsidP="00DC7646">
                      <w:pPr>
                        <w:jc w:val="center"/>
                      </w:pPr>
                    </w:p>
                  </w:txbxContent>
                </v:textbox>
              </v:shape>
            </w:pict>
          </mc:Fallback>
        </mc:AlternateContent>
      </w:r>
      <w:r w:rsidR="00F16266">
        <w:br w:type="page"/>
      </w:r>
    </w:p>
    <w:p w:rsidR="00F16266" w:rsidRPr="008449C2" w:rsidRDefault="008449C2" w:rsidP="009D1723">
      <w:pPr>
        <w:jc w:val="center"/>
        <w:rPr>
          <w:rFonts w:ascii="Calibri" w:eastAsia="+mn-ea" w:hAnsi="Calibri" w:cs="+mn-cs"/>
          <w:b/>
          <w:bCs/>
          <w:color w:val="465E9C" w:themeColor="text2"/>
          <w:kern w:val="24"/>
          <w:sz w:val="36"/>
          <w:szCs w:val="32"/>
          <w:lang w:eastAsia="en-AU"/>
        </w:rPr>
      </w:pPr>
      <w:r w:rsidRPr="008449C2">
        <w:rPr>
          <w:rFonts w:ascii="Calibri" w:eastAsia="+mn-ea" w:hAnsi="Calibri" w:cs="+mn-cs"/>
          <w:b/>
          <w:bCs/>
          <w:color w:val="465E9C" w:themeColor="text2"/>
          <w:kern w:val="24"/>
          <w:sz w:val="36"/>
          <w:szCs w:val="32"/>
          <w:lang w:eastAsia="en-AU"/>
        </w:rPr>
        <w:lastRenderedPageBreak/>
        <w:t>Outbreaks in Quarter 1 2019</w:t>
      </w:r>
    </w:p>
    <w:p w:rsidR="00F16266" w:rsidRPr="00F16266" w:rsidRDefault="0042350C" w:rsidP="00F16266">
      <w:r>
        <w:rPr>
          <w:noProof/>
        </w:rPr>
        <w:drawing>
          <wp:anchor distT="0" distB="0" distL="114300" distR="114300" simplePos="0" relativeHeight="251685888" behindDoc="0" locked="0" layoutInCell="1" allowOverlap="1">
            <wp:simplePos x="0" y="0"/>
            <wp:positionH relativeFrom="column">
              <wp:posOffset>2800989</wp:posOffset>
            </wp:positionH>
            <wp:positionV relativeFrom="paragraph">
              <wp:posOffset>83820</wp:posOffset>
            </wp:positionV>
            <wp:extent cx="3588599" cy="147538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57710" b="25844"/>
                    <a:stretch/>
                  </pic:blipFill>
                  <pic:spPr bwMode="auto">
                    <a:xfrm>
                      <a:off x="0" y="0"/>
                      <a:ext cx="3588599" cy="14753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0" locked="0" layoutInCell="1" allowOverlap="1" wp14:anchorId="356F6147" wp14:editId="0CF3B551">
            <wp:simplePos x="0" y="0"/>
            <wp:positionH relativeFrom="column">
              <wp:posOffset>-740087</wp:posOffset>
            </wp:positionH>
            <wp:positionV relativeFrom="paragraph">
              <wp:posOffset>100330</wp:posOffset>
            </wp:positionV>
            <wp:extent cx="3455035" cy="1518285"/>
            <wp:effectExtent l="0" t="0" r="0" b="5715"/>
            <wp:wrapNone/>
            <wp:docPr id="5" name="Picture 5" descr="C:\Users\he39913\Downloads\OzFoodNet Quarterly 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39913\Downloads\OzFoodNet Quarterly Report.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39350" b="43070"/>
                    <a:stretch/>
                  </pic:blipFill>
                  <pic:spPr bwMode="auto">
                    <a:xfrm>
                      <a:off x="0" y="0"/>
                      <a:ext cx="3455035" cy="1518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6266" w:rsidRPr="00F16266" w:rsidRDefault="00F16266" w:rsidP="00F16266"/>
    <w:p w:rsidR="00F16266" w:rsidRPr="00F16266" w:rsidRDefault="00F16266" w:rsidP="00F16266"/>
    <w:p w:rsidR="00F16266" w:rsidRPr="00F16266" w:rsidRDefault="00F16266" w:rsidP="00F16266"/>
    <w:p w:rsidR="00F16266" w:rsidRPr="00F16266" w:rsidRDefault="00F16266" w:rsidP="00F16266"/>
    <w:p w:rsidR="00F16266" w:rsidRPr="00F16266" w:rsidRDefault="00576EE6" w:rsidP="00F16266">
      <w:r>
        <w:rPr>
          <w:noProof/>
          <w:lang w:eastAsia="en-AU"/>
        </w:rPr>
        <w:drawing>
          <wp:anchor distT="0" distB="0" distL="114300" distR="114300" simplePos="0" relativeHeight="251664384" behindDoc="0" locked="0" layoutInCell="1" allowOverlap="1" wp14:anchorId="2B9AA054" wp14:editId="66057408">
            <wp:simplePos x="0" y="0"/>
            <wp:positionH relativeFrom="column">
              <wp:posOffset>923513</wp:posOffset>
            </wp:positionH>
            <wp:positionV relativeFrom="paragraph">
              <wp:posOffset>183515</wp:posOffset>
            </wp:positionV>
            <wp:extent cx="4117003" cy="1715984"/>
            <wp:effectExtent l="0" t="0" r="0" b="0"/>
            <wp:wrapNone/>
            <wp:docPr id="8" name="Picture 8" descr="C:\Users\he39913\Downloads\OzFoodNet Quarterly Report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39913\Downloads\OzFoodNet Quarterly Report (13).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75388" b="7941"/>
                    <a:stretch/>
                  </pic:blipFill>
                  <pic:spPr bwMode="auto">
                    <a:xfrm>
                      <a:off x="0" y="0"/>
                      <a:ext cx="4117003" cy="17159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6266" w:rsidRPr="00F16266" w:rsidRDefault="00F16266" w:rsidP="00F16266"/>
    <w:p w:rsidR="00F16266" w:rsidRPr="00F16266" w:rsidRDefault="00F16266" w:rsidP="00F16266"/>
    <w:p w:rsidR="0042350C" w:rsidRDefault="0042350C" w:rsidP="00F16266">
      <w:pPr>
        <w:rPr>
          <w:noProof/>
        </w:rPr>
      </w:pPr>
    </w:p>
    <w:p w:rsidR="00F16266" w:rsidRPr="00F16266" w:rsidRDefault="00F16266" w:rsidP="00F16266"/>
    <w:p w:rsidR="00F16266" w:rsidRDefault="00F16266" w:rsidP="00F16266"/>
    <w:p w:rsidR="00F16266" w:rsidRDefault="00F16266" w:rsidP="0042350C"/>
    <w:p w:rsidR="00F16266" w:rsidRPr="00F16266" w:rsidRDefault="00B70DAF" w:rsidP="00F16266">
      <w:r>
        <w:rPr>
          <w:b/>
          <w:noProof/>
          <w:color w:val="FF0000"/>
          <w:lang w:eastAsia="en-AU"/>
        </w:rPr>
        <mc:AlternateContent>
          <mc:Choice Requires="wps">
            <w:drawing>
              <wp:anchor distT="0" distB="0" distL="114300" distR="114300" simplePos="0" relativeHeight="251640832" behindDoc="0" locked="0" layoutInCell="1" allowOverlap="1" wp14:anchorId="0B9DE7D6" wp14:editId="43D3B384">
                <wp:simplePos x="0" y="0"/>
                <wp:positionH relativeFrom="column">
                  <wp:posOffset>-475013</wp:posOffset>
                </wp:positionH>
                <wp:positionV relativeFrom="paragraph">
                  <wp:posOffset>74246</wp:posOffset>
                </wp:positionV>
                <wp:extent cx="6708775" cy="629392"/>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708775" cy="6293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0DAF" w:rsidRDefault="00B70DAF" w:rsidP="00BB48D3">
                            <w:pPr>
                              <w:spacing w:after="0"/>
                              <w:rPr>
                                <w:rFonts w:ascii="Calibri" w:eastAsia="+mn-ea" w:hAnsi="Calibri" w:cs="+mn-cs"/>
                                <w:bCs/>
                                <w:color w:val="465E9C" w:themeColor="text2"/>
                                <w:kern w:val="24"/>
                                <w:sz w:val="22"/>
                                <w:szCs w:val="32"/>
                                <w:lang w:eastAsia="en-AU"/>
                              </w:rPr>
                            </w:pPr>
                            <w:r w:rsidRPr="00B70DAF">
                              <w:rPr>
                                <w:rFonts w:ascii="Calibri" w:eastAsia="+mn-ea" w:hAnsi="Calibri" w:cs="+mn-cs"/>
                                <w:b/>
                                <w:bCs/>
                                <w:color w:val="465E9C" w:themeColor="text2"/>
                                <w:kern w:val="24"/>
                                <w:sz w:val="22"/>
                                <w:szCs w:val="32"/>
                                <w:lang w:eastAsia="en-AU"/>
                              </w:rPr>
                              <w:t>Appendix 2</w:t>
                            </w:r>
                            <w:r w:rsidRPr="00B70DAF">
                              <w:rPr>
                                <w:rFonts w:ascii="Calibri" w:eastAsia="+mn-ea" w:hAnsi="Calibri" w:cs="+mn-cs"/>
                                <w:bCs/>
                                <w:color w:val="465E9C" w:themeColor="text2"/>
                                <w:kern w:val="24"/>
                                <w:sz w:val="22"/>
                                <w:szCs w:val="32"/>
                                <w:lang w:eastAsia="en-AU"/>
                              </w:rPr>
                              <w:t xml:space="preserve"> Details of foodborne outbreaks investigated in Quarter 1, 2019</w:t>
                            </w:r>
                            <w:r w:rsidR="00576EE6">
                              <w:rPr>
                                <w:rFonts w:ascii="Calibri" w:eastAsia="+mn-ea" w:hAnsi="Calibri" w:cs="+mn-cs"/>
                                <w:bCs/>
                                <w:color w:val="465E9C" w:themeColor="text2"/>
                                <w:kern w:val="24"/>
                                <w:sz w:val="22"/>
                                <w:szCs w:val="32"/>
                                <w:lang w:eastAsia="en-AU"/>
                              </w:rPr>
                              <w:t>:</w:t>
                            </w:r>
                          </w:p>
                          <w:p w:rsidR="00B70DAF" w:rsidRPr="00B70DAF" w:rsidRDefault="0042350C" w:rsidP="00BB48D3">
                            <w:pPr>
                              <w:spacing w:after="0"/>
                              <w:rPr>
                                <w:rFonts w:ascii="Calibri" w:eastAsia="+mn-ea" w:hAnsi="Calibri" w:cs="+mn-cs"/>
                                <w:bCs/>
                                <w:kern w:val="24"/>
                                <w:sz w:val="18"/>
                                <w:szCs w:val="32"/>
                                <w:lang w:eastAsia="en-AU"/>
                              </w:rPr>
                            </w:pPr>
                            <w:hyperlink r:id="rId17" w:history="1">
                              <w:r w:rsidR="00B70DAF" w:rsidRPr="00B70DAF">
                                <w:rPr>
                                  <w:rStyle w:val="Hyperlink"/>
                                  <w:rFonts w:ascii="Calibri" w:hAnsi="Calibri"/>
                                  <w:color w:val="auto"/>
                                  <w:sz w:val="18"/>
                                </w:rPr>
                                <w:t>https://ww2.health.wa.gov.au/~/media/Files/Corporate/general%20documents/Infectious%20diseases/Word/OzFoodNet/WA-OzFoodnet-appendix2-2019-Q1.doc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E7D6" id="Text Box 23" o:spid="_x0000_s1033" type="#_x0000_t202" style="position:absolute;margin-left:-37.4pt;margin-top:5.85pt;width:528.25pt;height:4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" filled="f" stroked="f" strokeweight=".5pt">
                <v:textbox>
                  <w:txbxContent>
                    <w:p w:rsidR="00B70DAF" w:rsidRDefault="00B70DAF" w:rsidP="00BB48D3">
                      <w:pPr>
                        <w:spacing w:after="0"/>
                        <w:rPr>
                          <w:rFonts w:ascii="Calibri" w:eastAsia="+mn-ea" w:hAnsi="Calibri" w:cs="+mn-cs"/>
                          <w:bCs/>
                          <w:color w:val="465E9C" w:themeColor="text2"/>
                          <w:kern w:val="24"/>
                          <w:sz w:val="22"/>
                          <w:szCs w:val="32"/>
                          <w:lang w:eastAsia="en-AU"/>
                        </w:rPr>
                      </w:pPr>
                      <w:r w:rsidRPr="00B70DAF">
                        <w:rPr>
                          <w:rFonts w:ascii="Calibri" w:eastAsia="+mn-ea" w:hAnsi="Calibri" w:cs="+mn-cs"/>
                          <w:b/>
                          <w:bCs/>
                          <w:color w:val="465E9C" w:themeColor="text2"/>
                          <w:kern w:val="24"/>
                          <w:sz w:val="22"/>
                          <w:szCs w:val="32"/>
                          <w:lang w:eastAsia="en-AU"/>
                        </w:rPr>
                        <w:t>Appendix 2</w:t>
                      </w:r>
                      <w:r w:rsidRPr="00B70DAF">
                        <w:rPr>
                          <w:rFonts w:ascii="Calibri" w:eastAsia="+mn-ea" w:hAnsi="Calibri" w:cs="+mn-cs"/>
                          <w:bCs/>
                          <w:color w:val="465E9C" w:themeColor="text2"/>
                          <w:kern w:val="24"/>
                          <w:sz w:val="22"/>
                          <w:szCs w:val="32"/>
                          <w:lang w:eastAsia="en-AU"/>
                        </w:rPr>
                        <w:t xml:space="preserve"> Details of foodborne outbreaks investigated in Quarter 1, 2019</w:t>
                      </w:r>
                      <w:r w:rsidR="00576EE6">
                        <w:rPr>
                          <w:rFonts w:ascii="Calibri" w:eastAsia="+mn-ea" w:hAnsi="Calibri" w:cs="+mn-cs"/>
                          <w:bCs/>
                          <w:color w:val="465E9C" w:themeColor="text2"/>
                          <w:kern w:val="24"/>
                          <w:sz w:val="22"/>
                          <w:szCs w:val="32"/>
                          <w:lang w:eastAsia="en-AU"/>
                        </w:rPr>
                        <w:t>:</w:t>
                      </w:r>
                    </w:p>
                    <w:p w:rsidR="00B70DAF" w:rsidRPr="00B70DAF" w:rsidRDefault="0042350C" w:rsidP="00BB48D3">
                      <w:pPr>
                        <w:spacing w:after="0"/>
                        <w:rPr>
                          <w:rFonts w:ascii="Calibri" w:eastAsia="+mn-ea" w:hAnsi="Calibri" w:cs="+mn-cs"/>
                          <w:bCs/>
                          <w:kern w:val="24"/>
                          <w:sz w:val="18"/>
                          <w:szCs w:val="32"/>
                          <w:lang w:eastAsia="en-AU"/>
                        </w:rPr>
                      </w:pPr>
                      <w:hyperlink r:id="rId18" w:history="1">
                        <w:r w:rsidR="00B70DAF" w:rsidRPr="00B70DAF">
                          <w:rPr>
                            <w:rStyle w:val="Hyperlink"/>
                            <w:rFonts w:ascii="Calibri" w:hAnsi="Calibri"/>
                            <w:color w:val="auto"/>
                            <w:sz w:val="18"/>
                          </w:rPr>
                          <w:t>https://ww2.health.wa.gov.au/~/media/Files/Corporate/general%20documents/Infectious%20diseases/Word/OzFoodNet/WA-OzFoodnet-appendix2-2019-Q1.doc</w:t>
                        </w:r>
                      </w:hyperlink>
                    </w:p>
                  </w:txbxContent>
                </v:textbox>
              </v:shape>
            </w:pict>
          </mc:Fallback>
        </mc:AlternateContent>
      </w:r>
    </w:p>
    <w:p w:rsidR="00F16266" w:rsidRPr="00F16266" w:rsidRDefault="00F16266" w:rsidP="00F16266"/>
    <w:p w:rsidR="00F16266" w:rsidRPr="00F16266" w:rsidRDefault="00F16266" w:rsidP="00F16266">
      <w:bookmarkStart w:id="0" w:name="_GoBack"/>
      <w:bookmarkEnd w:id="0"/>
    </w:p>
    <w:p w:rsidR="00F16266" w:rsidRDefault="00BB48D3" w:rsidP="00F16266">
      <w:r>
        <w:rPr>
          <w:noProof/>
          <w:lang w:eastAsia="en-AU"/>
        </w:rPr>
        <mc:AlternateContent>
          <mc:Choice Requires="wps">
            <w:drawing>
              <wp:anchor distT="0" distB="0" distL="114300" distR="114300" simplePos="0" relativeHeight="251636736" behindDoc="0" locked="0" layoutInCell="1" allowOverlap="1" wp14:anchorId="3D0283FD" wp14:editId="248E6072">
                <wp:simplePos x="0" y="0"/>
                <wp:positionH relativeFrom="column">
                  <wp:posOffset>-477520</wp:posOffset>
                </wp:positionH>
                <wp:positionV relativeFrom="paragraph">
                  <wp:posOffset>32385</wp:posOffset>
                </wp:positionV>
                <wp:extent cx="6708775" cy="4826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4826000"/>
                        </a:xfrm>
                        <a:prstGeom prst="rect">
                          <a:avLst/>
                        </a:prstGeom>
                        <a:solidFill>
                          <a:schemeClr val="tx2">
                            <a:lumMod val="20000"/>
                            <a:lumOff val="80000"/>
                            <a:alpha val="50000"/>
                          </a:schemeClr>
                        </a:solidFill>
                        <a:ln w="9525">
                          <a:noFill/>
                          <a:miter lim="800000"/>
                          <a:headEnd/>
                          <a:tailEnd/>
                        </a:ln>
                      </wps:spPr>
                      <wps:txbx>
                        <w:txbxContent>
                          <w:p w:rsidR="00447A73" w:rsidRPr="002A1586" w:rsidRDefault="00F16266" w:rsidP="0012565F">
                            <w:pPr>
                              <w:spacing w:after="0"/>
                              <w:jc w:val="center"/>
                              <w:rPr>
                                <w:rFonts w:ascii="Calibri" w:eastAsia="+mn-ea" w:hAnsi="Calibri" w:cs="+mn-cs"/>
                                <w:b/>
                                <w:bCs/>
                                <w:color w:val="465E9C" w:themeColor="text2"/>
                                <w:kern w:val="24"/>
                                <w:sz w:val="32"/>
                                <w:szCs w:val="32"/>
                                <w:lang w:eastAsia="en-AU"/>
                              </w:rPr>
                            </w:pPr>
                            <w:r w:rsidRPr="002A1586">
                              <w:rPr>
                                <w:rFonts w:ascii="Calibri" w:eastAsia="+mn-ea" w:hAnsi="Calibri" w:cs="+mn-cs"/>
                                <w:b/>
                                <w:bCs/>
                                <w:color w:val="465E9C" w:themeColor="text2"/>
                                <w:kern w:val="24"/>
                                <w:sz w:val="32"/>
                                <w:szCs w:val="32"/>
                                <w:lang w:eastAsia="en-AU"/>
                              </w:rPr>
                              <w:t>Key trends from Quarter 1 2019</w:t>
                            </w:r>
                          </w:p>
                          <w:p w:rsidR="00D050EF" w:rsidRPr="0012565F" w:rsidRDefault="00D050EF" w:rsidP="0012565F">
                            <w:pPr>
                              <w:spacing w:after="0"/>
                              <w:jc w:val="center"/>
                              <w:rPr>
                                <w:rFonts w:ascii="Times New Roman" w:eastAsia="Times New Roman" w:hAnsi="Times New Roman" w:cs="Times New Roman"/>
                                <w:color w:val="000000" w:themeColor="text1"/>
                                <w:sz w:val="32"/>
                                <w:szCs w:val="32"/>
                                <w:lang w:eastAsia="en-AU"/>
                              </w:rPr>
                            </w:pPr>
                          </w:p>
                          <w:p w:rsidR="00BB48D3" w:rsidRDefault="00BB48D3" w:rsidP="00BB48D3">
                            <w:pPr>
                              <w:rPr>
                                <w:rFonts w:eastAsia="Calibri" w:cs="Times New Roman"/>
                                <w:b/>
                                <w:color w:val="465E9C"/>
                                <w:sz w:val="20"/>
                                <w:szCs w:val="20"/>
                              </w:rPr>
                            </w:pPr>
                            <w:r>
                              <w:rPr>
                                <w:rFonts w:eastAsia="Calibri" w:cs="Times New Roman"/>
                                <w:b/>
                                <w:i/>
                                <w:color w:val="465E9C"/>
                                <w:sz w:val="20"/>
                                <w:szCs w:val="20"/>
                              </w:rPr>
                              <w:t>Salmonella</w:t>
                            </w:r>
                            <w:r>
                              <w:rPr>
                                <w:rFonts w:eastAsia="Calibri" w:cs="Times New Roman"/>
                                <w:b/>
                                <w:color w:val="465E9C"/>
                                <w:sz w:val="20"/>
                                <w:szCs w:val="20"/>
                              </w:rPr>
                              <w:t xml:space="preserve"> Typhimurium (STM) MLVA 03-17-09-12-523 </w:t>
                            </w:r>
                          </w:p>
                          <w:p w:rsidR="00BB48D3" w:rsidRDefault="00BB48D3" w:rsidP="00BB48D3">
                            <w:pPr>
                              <w:rPr>
                                <w:rFonts w:eastAsia="Calibri" w:cs="Times New Roman"/>
                                <w:b/>
                                <w:color w:val="000000"/>
                                <w:sz w:val="20"/>
                                <w:szCs w:val="20"/>
                              </w:rPr>
                            </w:pPr>
                            <w:r>
                              <w:rPr>
                                <w:rFonts w:eastAsia="Calibri" w:cs="Times New Roman"/>
                                <w:sz w:val="20"/>
                                <w:szCs w:val="20"/>
                              </w:rPr>
                              <w:t xml:space="preserve">STM MLVA 03-17-09-12-523 has been under investigation since the type emerged in September 2016. From September 2016 to March 2019 there were 1186 cases notified, including 77 cases in 1Q19. This MLVA type was the single most common MLVA type notified in 1Q19, constituting </w:t>
                            </w:r>
                            <w:r>
                              <w:rPr>
                                <w:rFonts w:eastAsia="Calibri" w:cs="Arial"/>
                                <w:sz w:val="20"/>
                                <w:szCs w:val="20"/>
                              </w:rPr>
                              <w:t>23%</w:t>
                            </w:r>
                            <w:r>
                              <w:rPr>
                                <w:rFonts w:eastAsia="Calibri" w:cs="Times New Roman"/>
                                <w:sz w:val="20"/>
                                <w:szCs w:val="20"/>
                              </w:rPr>
                              <w:t xml:space="preserve"> of STM notifications for the quarter. Of the 77 cases, 13 (17%) were part of three separate point source outbreaks in 1Q19. </w:t>
                            </w:r>
                            <w:r>
                              <w:rPr>
                                <w:rFonts w:eastAsia="Calibri" w:cs="Arial"/>
                                <w:sz w:val="20"/>
                                <w:szCs w:val="20"/>
                              </w:rPr>
                              <w:t>Dishes that contained raw or undercooked eggs were implicated in one outbreak; the vehicle was unknown in the other 1Q19 outbreaks of this MLVA type.</w:t>
                            </w:r>
                            <w:r>
                              <w:rPr>
                                <w:rFonts w:eastAsia="Calibri" w:cs="Times New Roman"/>
                                <w:b/>
                                <w:color w:val="000000"/>
                                <w:sz w:val="20"/>
                                <w:szCs w:val="20"/>
                              </w:rPr>
                              <w:t xml:space="preserve"> </w:t>
                            </w:r>
                            <w:r>
                              <w:rPr>
                                <w:rFonts w:eastAsia="Calibri" w:cs="Times New Roman"/>
                                <w:color w:val="000000"/>
                                <w:sz w:val="20"/>
                                <w:szCs w:val="20"/>
                              </w:rPr>
                              <w:t>Of t</w:t>
                            </w:r>
                            <w:r>
                              <w:rPr>
                                <w:rFonts w:eastAsia="Calibri" w:cs="Arial"/>
                                <w:sz w:val="20"/>
                                <w:szCs w:val="20"/>
                              </w:rPr>
                              <w:t>he remaining 64 cases, most (89%) resided in the Perth metropolitan area. Hospital</w:t>
                            </w:r>
                            <w:r w:rsidR="004B30D5">
                              <w:rPr>
                                <w:rFonts w:eastAsia="Calibri" w:cs="Arial"/>
                                <w:sz w:val="20"/>
                                <w:szCs w:val="20"/>
                              </w:rPr>
                              <w:t>isation data was confirmed for 6</w:t>
                            </w:r>
                            <w:r>
                              <w:rPr>
                                <w:rFonts w:eastAsia="Calibri" w:cs="Arial"/>
                                <w:sz w:val="20"/>
                                <w:szCs w:val="20"/>
                              </w:rPr>
                              <w:t xml:space="preserve">1 community cases; 36% were hospitalised. </w:t>
                            </w:r>
                          </w:p>
                          <w:p w:rsidR="00D050EF" w:rsidRPr="00FC2612" w:rsidRDefault="00D050EF" w:rsidP="00D050EF">
                            <w:r>
                              <w:rPr>
                                <w:noProof/>
                                <w:lang w:eastAsia="en-AU"/>
                              </w:rPr>
                              <w:drawing>
                                <wp:inline distT="0" distB="0" distL="0" distR="0" wp14:anchorId="69BEF0A0" wp14:editId="5D2217AB">
                                  <wp:extent cx="6233823" cy="2544417"/>
                                  <wp:effectExtent l="0" t="0" r="0" b="889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50EF" w:rsidRPr="00BB48D3" w:rsidRDefault="00DB0727" w:rsidP="00D050EF">
                            <w:pPr>
                              <w:pStyle w:val="Caption"/>
                              <w:spacing w:line="240" w:lineRule="auto"/>
                              <w:rPr>
                                <w:color w:val="465E9C" w:themeColor="text2"/>
                                <w:sz w:val="20"/>
                              </w:rPr>
                            </w:pPr>
                            <w:r w:rsidRPr="00BB48D3">
                              <w:rPr>
                                <w:color w:val="465E9C" w:themeColor="text2"/>
                                <w:sz w:val="20"/>
                              </w:rPr>
                              <w:t>Figure</w:t>
                            </w:r>
                            <w:r w:rsidR="00D050EF" w:rsidRPr="00BB48D3">
                              <w:rPr>
                                <w:color w:val="465E9C" w:themeColor="text2"/>
                                <w:sz w:val="20"/>
                              </w:rPr>
                              <w:t xml:space="preserve">: Notifications of </w:t>
                            </w:r>
                            <w:r w:rsidR="00D050EF" w:rsidRPr="00BB48D3">
                              <w:rPr>
                                <w:i/>
                                <w:color w:val="465E9C" w:themeColor="text2"/>
                                <w:sz w:val="20"/>
                              </w:rPr>
                              <w:t>Salmonella</w:t>
                            </w:r>
                            <w:r w:rsidR="00D050EF" w:rsidRPr="00BB48D3">
                              <w:rPr>
                                <w:color w:val="465E9C" w:themeColor="text2"/>
                                <w:sz w:val="20"/>
                              </w:rPr>
                              <w:t xml:space="preserve"> Typhimurium MLVA 03-17-09-12-523 in WA, 2016 to March 2019</w:t>
                            </w:r>
                          </w:p>
                          <w:p w:rsidR="00256108" w:rsidRPr="0014114D" w:rsidRDefault="00256108" w:rsidP="0087065F">
                            <w:pPr>
                              <w:spacing w:line="360" w:lineRule="auto"/>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283FD" id="_x0000_s1034" type="#_x0000_t202" style="position:absolute;margin-left:-37.6pt;margin-top:2.55pt;width:528.25pt;height:38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" fillcolor="#d7dded [671]" stroked="f">
                <v:fill opacity="32896f"/>
                <v:textbox>
                  <w:txbxContent>
                    <w:p w:rsidR="00447A73" w:rsidRPr="002A1586" w:rsidRDefault="00F16266" w:rsidP="0012565F">
                      <w:pPr>
                        <w:spacing w:after="0"/>
                        <w:jc w:val="center"/>
                        <w:rPr>
                          <w:rFonts w:ascii="Calibri" w:eastAsia="+mn-ea" w:hAnsi="Calibri" w:cs="+mn-cs"/>
                          <w:b/>
                          <w:bCs/>
                          <w:color w:val="465E9C" w:themeColor="text2"/>
                          <w:kern w:val="24"/>
                          <w:sz w:val="32"/>
                          <w:szCs w:val="32"/>
                          <w:lang w:eastAsia="en-AU"/>
                        </w:rPr>
                      </w:pPr>
                      <w:r w:rsidRPr="002A1586">
                        <w:rPr>
                          <w:rFonts w:ascii="Calibri" w:eastAsia="+mn-ea" w:hAnsi="Calibri" w:cs="+mn-cs"/>
                          <w:b/>
                          <w:bCs/>
                          <w:color w:val="465E9C" w:themeColor="text2"/>
                          <w:kern w:val="24"/>
                          <w:sz w:val="32"/>
                          <w:szCs w:val="32"/>
                          <w:lang w:eastAsia="en-AU"/>
                        </w:rPr>
                        <w:t>Key trends from Quarter 1 2019</w:t>
                      </w:r>
                    </w:p>
                    <w:p w:rsidR="00D050EF" w:rsidRPr="0012565F" w:rsidRDefault="00D050EF" w:rsidP="0012565F">
                      <w:pPr>
                        <w:spacing w:after="0"/>
                        <w:jc w:val="center"/>
                        <w:rPr>
                          <w:rFonts w:ascii="Times New Roman" w:eastAsia="Times New Roman" w:hAnsi="Times New Roman" w:cs="Times New Roman"/>
                          <w:color w:val="000000" w:themeColor="text1"/>
                          <w:sz w:val="32"/>
                          <w:szCs w:val="32"/>
                          <w:lang w:eastAsia="en-AU"/>
                        </w:rPr>
                      </w:pPr>
                    </w:p>
                    <w:p w:rsidR="00BB48D3" w:rsidRDefault="00BB48D3" w:rsidP="00BB48D3">
                      <w:pPr>
                        <w:rPr>
                          <w:rFonts w:eastAsia="Calibri" w:cs="Times New Roman"/>
                          <w:b/>
                          <w:color w:val="465E9C"/>
                          <w:sz w:val="20"/>
                          <w:szCs w:val="20"/>
                        </w:rPr>
                      </w:pPr>
                      <w:r>
                        <w:rPr>
                          <w:rFonts w:eastAsia="Calibri" w:cs="Times New Roman"/>
                          <w:b/>
                          <w:i/>
                          <w:color w:val="465E9C"/>
                          <w:sz w:val="20"/>
                          <w:szCs w:val="20"/>
                        </w:rPr>
                        <w:t>Salmonella</w:t>
                      </w:r>
                      <w:r>
                        <w:rPr>
                          <w:rFonts w:eastAsia="Calibri" w:cs="Times New Roman"/>
                          <w:b/>
                          <w:color w:val="465E9C"/>
                          <w:sz w:val="20"/>
                          <w:szCs w:val="20"/>
                        </w:rPr>
                        <w:t xml:space="preserve"> Typhimurium (STM) MLVA 03-17-09-12-523 </w:t>
                      </w:r>
                    </w:p>
                    <w:p w:rsidR="00BB48D3" w:rsidRDefault="00BB48D3" w:rsidP="00BB48D3">
                      <w:pPr>
                        <w:rPr>
                          <w:rFonts w:eastAsia="Calibri" w:cs="Times New Roman"/>
                          <w:b/>
                          <w:color w:val="000000"/>
                          <w:sz w:val="20"/>
                          <w:szCs w:val="20"/>
                        </w:rPr>
                      </w:pPr>
                      <w:r>
                        <w:rPr>
                          <w:rFonts w:eastAsia="Calibri" w:cs="Times New Roman"/>
                          <w:sz w:val="20"/>
                          <w:szCs w:val="20"/>
                        </w:rPr>
                        <w:t xml:space="preserve">STM MLVA 03-17-09-12-523 has been under investigation since the type emerged in September 2016. From September 2016 to March 2019 there were 1186 cases notified, including 77 cases in 1Q19. This MLVA type was the single most common MLVA type notified in 1Q19, constituting </w:t>
                      </w:r>
                      <w:r>
                        <w:rPr>
                          <w:rFonts w:eastAsia="Calibri" w:cs="Arial"/>
                          <w:sz w:val="20"/>
                          <w:szCs w:val="20"/>
                        </w:rPr>
                        <w:t>23%</w:t>
                      </w:r>
                      <w:r>
                        <w:rPr>
                          <w:rFonts w:eastAsia="Calibri" w:cs="Times New Roman"/>
                          <w:sz w:val="20"/>
                          <w:szCs w:val="20"/>
                        </w:rPr>
                        <w:t xml:space="preserve"> of STM notifications for the quarter. Of the 77 cases, 13 (17%) were part of three separate point source outbreaks in 1Q19. </w:t>
                      </w:r>
                      <w:r>
                        <w:rPr>
                          <w:rFonts w:eastAsia="Calibri" w:cs="Arial"/>
                          <w:sz w:val="20"/>
                          <w:szCs w:val="20"/>
                        </w:rPr>
                        <w:t>Dishes that contained raw or undercooked eggs were implicated in one outbreak; the vehicle was unknown in the other 1Q19 outbreaks of this MLVA type.</w:t>
                      </w:r>
                      <w:r>
                        <w:rPr>
                          <w:rFonts w:eastAsia="Calibri" w:cs="Times New Roman"/>
                          <w:b/>
                          <w:color w:val="000000"/>
                          <w:sz w:val="20"/>
                          <w:szCs w:val="20"/>
                        </w:rPr>
                        <w:t xml:space="preserve"> </w:t>
                      </w:r>
                      <w:r>
                        <w:rPr>
                          <w:rFonts w:eastAsia="Calibri" w:cs="Times New Roman"/>
                          <w:color w:val="000000"/>
                          <w:sz w:val="20"/>
                          <w:szCs w:val="20"/>
                        </w:rPr>
                        <w:t>Of t</w:t>
                      </w:r>
                      <w:r>
                        <w:rPr>
                          <w:rFonts w:eastAsia="Calibri" w:cs="Arial"/>
                          <w:sz w:val="20"/>
                          <w:szCs w:val="20"/>
                        </w:rPr>
                        <w:t>he remaining 64 cases, most (89%) resided in the Perth metropolitan area. Hospital</w:t>
                      </w:r>
                      <w:r w:rsidR="004B30D5">
                        <w:rPr>
                          <w:rFonts w:eastAsia="Calibri" w:cs="Arial"/>
                          <w:sz w:val="20"/>
                          <w:szCs w:val="20"/>
                        </w:rPr>
                        <w:t>isation data was confirmed for 6</w:t>
                      </w:r>
                      <w:r>
                        <w:rPr>
                          <w:rFonts w:eastAsia="Calibri" w:cs="Arial"/>
                          <w:sz w:val="20"/>
                          <w:szCs w:val="20"/>
                        </w:rPr>
                        <w:t xml:space="preserve">1 community cases; 36% were hospitalised. </w:t>
                      </w:r>
                    </w:p>
                    <w:p w:rsidR="00D050EF" w:rsidRPr="00FC2612" w:rsidRDefault="00D050EF" w:rsidP="00D050EF">
                      <w:r>
                        <w:rPr>
                          <w:noProof/>
                          <w:lang w:eastAsia="en-AU"/>
                        </w:rPr>
                        <w:drawing>
                          <wp:inline distT="0" distB="0" distL="0" distR="0" wp14:anchorId="69BEF0A0" wp14:editId="5D2217AB">
                            <wp:extent cx="6233823" cy="2544417"/>
                            <wp:effectExtent l="0" t="0" r="0" b="889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50EF" w:rsidRPr="00BB48D3" w:rsidRDefault="00DB0727" w:rsidP="00D050EF">
                      <w:pPr>
                        <w:pStyle w:val="Caption"/>
                        <w:spacing w:line="240" w:lineRule="auto"/>
                        <w:rPr>
                          <w:color w:val="465E9C" w:themeColor="text2"/>
                          <w:sz w:val="20"/>
                        </w:rPr>
                      </w:pPr>
                      <w:r w:rsidRPr="00BB48D3">
                        <w:rPr>
                          <w:color w:val="465E9C" w:themeColor="text2"/>
                          <w:sz w:val="20"/>
                        </w:rPr>
                        <w:t>Figure</w:t>
                      </w:r>
                      <w:r w:rsidR="00D050EF" w:rsidRPr="00BB48D3">
                        <w:rPr>
                          <w:color w:val="465E9C" w:themeColor="text2"/>
                          <w:sz w:val="20"/>
                        </w:rPr>
                        <w:t xml:space="preserve">: Notifications of </w:t>
                      </w:r>
                      <w:r w:rsidR="00D050EF" w:rsidRPr="00BB48D3">
                        <w:rPr>
                          <w:i/>
                          <w:color w:val="465E9C" w:themeColor="text2"/>
                          <w:sz w:val="20"/>
                        </w:rPr>
                        <w:t>Salmonella</w:t>
                      </w:r>
                      <w:r w:rsidR="00D050EF" w:rsidRPr="00BB48D3">
                        <w:rPr>
                          <w:color w:val="465E9C" w:themeColor="text2"/>
                          <w:sz w:val="20"/>
                        </w:rPr>
                        <w:t xml:space="preserve"> Typhimurium MLVA 03-17-09-12-523 in WA, 2016 to March 2019</w:t>
                      </w:r>
                    </w:p>
                    <w:p w:rsidR="00256108" w:rsidRPr="0014114D" w:rsidRDefault="00256108" w:rsidP="0087065F">
                      <w:pPr>
                        <w:spacing w:line="360" w:lineRule="auto"/>
                        <w:rPr>
                          <w:b/>
                          <w:color w:val="000000" w:themeColor="text1"/>
                        </w:rPr>
                      </w:pPr>
                    </w:p>
                  </w:txbxContent>
                </v:textbox>
              </v:shape>
            </w:pict>
          </mc:Fallback>
        </mc:AlternateContent>
      </w:r>
    </w:p>
    <w:p w:rsidR="00286B46" w:rsidRDefault="00F16266" w:rsidP="00F16266">
      <w:pPr>
        <w:tabs>
          <w:tab w:val="left" w:pos="1861"/>
        </w:tabs>
      </w:pPr>
      <w:r>
        <w:tab/>
      </w:r>
    </w:p>
    <w:p w:rsidR="00286B46" w:rsidRPr="00286B46" w:rsidRDefault="00286B46" w:rsidP="00286B46"/>
    <w:p w:rsidR="00286B46" w:rsidRPr="00286B46" w:rsidRDefault="00286B46" w:rsidP="00286B46"/>
    <w:p w:rsidR="00286B46" w:rsidRDefault="00286B46" w:rsidP="00286B46"/>
    <w:p w:rsidR="009342F3" w:rsidRDefault="009342F3" w:rsidP="00286B46">
      <w:pPr>
        <w:rPr>
          <w:b/>
          <w:color w:val="FF0000"/>
        </w:rPr>
      </w:pPr>
    </w:p>
    <w:p w:rsidR="009342F3" w:rsidRDefault="009342F3" w:rsidP="00286B46">
      <w:pPr>
        <w:rPr>
          <w:b/>
          <w:color w:val="FF0000"/>
        </w:rPr>
      </w:pPr>
    </w:p>
    <w:p w:rsidR="009342F3" w:rsidRDefault="009342F3" w:rsidP="00286B46">
      <w:pPr>
        <w:rPr>
          <w:b/>
          <w:color w:val="FF0000"/>
        </w:rPr>
      </w:pPr>
    </w:p>
    <w:p w:rsidR="009342F3" w:rsidRDefault="009342F3" w:rsidP="00286B46">
      <w:pPr>
        <w:rPr>
          <w:b/>
          <w:color w:val="FF0000"/>
        </w:rPr>
      </w:pPr>
    </w:p>
    <w:p w:rsidR="009342F3" w:rsidRDefault="009342F3" w:rsidP="00286B46">
      <w:pPr>
        <w:rPr>
          <w:b/>
          <w:color w:val="FF0000"/>
        </w:rPr>
      </w:pPr>
    </w:p>
    <w:p w:rsidR="0064090A" w:rsidRDefault="0064090A" w:rsidP="00286B46">
      <w:pPr>
        <w:rPr>
          <w:b/>
          <w:color w:val="FF0000"/>
        </w:rPr>
      </w:pPr>
    </w:p>
    <w:p w:rsidR="004C2780" w:rsidRDefault="004C2780" w:rsidP="00B62E68">
      <w:pPr>
        <w:rPr>
          <w:b/>
          <w:color w:val="FF0000"/>
        </w:rPr>
      </w:pPr>
    </w:p>
    <w:p w:rsidR="0042350C" w:rsidRDefault="0042350C" w:rsidP="00B62E68">
      <w:pPr>
        <w:rPr>
          <w:noProof/>
        </w:rPr>
      </w:pPr>
    </w:p>
    <w:p w:rsidR="005D47ED" w:rsidRDefault="005D47ED" w:rsidP="00B62E68">
      <w:pPr>
        <w:rPr>
          <w:b/>
          <w:color w:val="FF0000"/>
        </w:rPr>
      </w:pPr>
    </w:p>
    <w:p w:rsidR="005D47ED" w:rsidRDefault="005D47ED" w:rsidP="00B62E68">
      <w:pPr>
        <w:rPr>
          <w:b/>
          <w:color w:val="FF0000"/>
        </w:rPr>
      </w:pPr>
    </w:p>
    <w:p w:rsidR="005D47ED" w:rsidRDefault="005D47ED" w:rsidP="00B62E68">
      <w:pPr>
        <w:rPr>
          <w:b/>
          <w:color w:val="FF0000"/>
        </w:rPr>
      </w:pPr>
    </w:p>
    <w:p w:rsidR="00DB0727" w:rsidRDefault="005D47ED" w:rsidP="00B62E68">
      <w:pPr>
        <w:rPr>
          <w:b/>
          <w:color w:val="FF0000"/>
        </w:rPr>
      </w:pPr>
      <w:r>
        <w:rPr>
          <w:noProof/>
          <w:lang w:eastAsia="en-AU"/>
        </w:rPr>
        <mc:AlternateContent>
          <mc:Choice Requires="wps">
            <w:drawing>
              <wp:anchor distT="0" distB="0" distL="114300" distR="114300" simplePos="0" relativeHeight="251684864" behindDoc="0" locked="0" layoutInCell="1" allowOverlap="1" wp14:anchorId="4349A8F8" wp14:editId="7BE3F946">
                <wp:simplePos x="0" y="0"/>
                <wp:positionH relativeFrom="column">
                  <wp:posOffset>-548640</wp:posOffset>
                </wp:positionH>
                <wp:positionV relativeFrom="paragraph">
                  <wp:posOffset>-532737</wp:posOffset>
                </wp:positionV>
                <wp:extent cx="6708775" cy="5764695"/>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764695"/>
                        </a:xfrm>
                        <a:prstGeom prst="rect">
                          <a:avLst/>
                        </a:prstGeom>
                        <a:solidFill>
                          <a:schemeClr val="tx2">
                            <a:lumMod val="20000"/>
                            <a:lumOff val="80000"/>
                            <a:alpha val="50000"/>
                          </a:schemeClr>
                        </a:solidFill>
                        <a:ln w="9525">
                          <a:noFill/>
                          <a:miter lim="800000"/>
                          <a:headEnd/>
                          <a:tailEnd/>
                        </a:ln>
                      </wps:spPr>
                      <wps:txbx>
                        <w:txbxContent>
                          <w:p w:rsidR="0066016D" w:rsidRPr="002A1586" w:rsidRDefault="005D47ED" w:rsidP="0066016D">
                            <w:pPr>
                              <w:pStyle w:val="Caption"/>
                              <w:spacing w:after="120" w:line="240" w:lineRule="auto"/>
                              <w:rPr>
                                <w:color w:val="465E9C" w:themeColor="text2"/>
                                <w:sz w:val="20"/>
                              </w:rPr>
                            </w:pPr>
                            <w:r w:rsidRPr="002A1586">
                              <w:rPr>
                                <w:color w:val="465E9C" w:themeColor="text2"/>
                                <w:sz w:val="20"/>
                              </w:rPr>
                              <w:t>Travel</w:t>
                            </w:r>
                            <w:r w:rsidR="00D050EF" w:rsidRPr="002A1586">
                              <w:rPr>
                                <w:color w:val="465E9C" w:themeColor="text2"/>
                                <w:sz w:val="20"/>
                              </w:rPr>
                              <w:t xml:space="preserve"> associated infection</w:t>
                            </w:r>
                          </w:p>
                          <w:p w:rsidR="005D47ED" w:rsidRPr="0066016D" w:rsidRDefault="00B90697" w:rsidP="005D47ED">
                            <w:pPr>
                              <w:pStyle w:val="Caption"/>
                              <w:spacing w:line="240" w:lineRule="auto"/>
                              <w:rPr>
                                <w:b w:val="0"/>
                                <w:color w:val="000000" w:themeColor="text1"/>
                                <w:sz w:val="20"/>
                              </w:rPr>
                            </w:pPr>
                            <w:r>
                              <w:rPr>
                                <w:b w:val="0"/>
                                <w:color w:val="000000" w:themeColor="text1"/>
                                <w:sz w:val="20"/>
                              </w:rPr>
                              <w:t xml:space="preserve">Overseas acquisition was reported in </w:t>
                            </w:r>
                            <w:r w:rsidR="0012565F" w:rsidRPr="0066016D">
                              <w:rPr>
                                <w:b w:val="0"/>
                                <w:color w:val="000000" w:themeColor="text1"/>
                                <w:sz w:val="20"/>
                              </w:rPr>
                              <w:t>302 (18%)</w:t>
                            </w:r>
                            <w:r w:rsidR="005D47ED" w:rsidRPr="0066016D">
                              <w:rPr>
                                <w:b w:val="0"/>
                                <w:color w:val="000000" w:themeColor="text1"/>
                                <w:sz w:val="20"/>
                              </w:rPr>
                              <w:t xml:space="preserve"> of enteric disease notifications </w:t>
                            </w:r>
                            <w:r w:rsidR="00D050EF" w:rsidRPr="0066016D">
                              <w:rPr>
                                <w:b w:val="0"/>
                                <w:color w:val="000000" w:themeColor="text1"/>
                                <w:sz w:val="20"/>
                              </w:rPr>
                              <w:t>in the 1Q19</w:t>
                            </w:r>
                            <w:r w:rsidR="005D47ED" w:rsidRPr="0066016D">
                              <w:rPr>
                                <w:b w:val="0"/>
                                <w:color w:val="000000" w:themeColor="text1"/>
                                <w:sz w:val="20"/>
                              </w:rPr>
                              <w:t xml:space="preserve">: </w:t>
                            </w:r>
                          </w:p>
                          <w:p w:rsidR="005D47ED" w:rsidRPr="0066016D" w:rsidRDefault="005D47ED" w:rsidP="005D47ED">
                            <w:pPr>
                              <w:pStyle w:val="ListParagraph"/>
                              <w:numPr>
                                <w:ilvl w:val="0"/>
                                <w:numId w:val="2"/>
                              </w:numPr>
                              <w:rPr>
                                <w:color w:val="000000" w:themeColor="text1"/>
                                <w:sz w:val="20"/>
                                <w:szCs w:val="20"/>
                              </w:rPr>
                            </w:pPr>
                            <w:r w:rsidRPr="0066016D">
                              <w:rPr>
                                <w:color w:val="000000" w:themeColor="text1"/>
                                <w:sz w:val="20"/>
                                <w:szCs w:val="20"/>
                              </w:rPr>
                              <w:t xml:space="preserve">The most commonly reported country of acquisition was Indonesia (48%). </w:t>
                            </w:r>
                          </w:p>
                          <w:p w:rsidR="005D47ED" w:rsidRPr="0066016D" w:rsidRDefault="005D47ED" w:rsidP="005D47ED">
                            <w:pPr>
                              <w:pStyle w:val="ListParagraph"/>
                              <w:numPr>
                                <w:ilvl w:val="0"/>
                                <w:numId w:val="2"/>
                              </w:numPr>
                              <w:rPr>
                                <w:color w:val="000000" w:themeColor="text1"/>
                                <w:sz w:val="20"/>
                                <w:szCs w:val="20"/>
                              </w:rPr>
                            </w:pPr>
                            <w:r w:rsidRPr="0066016D">
                              <w:rPr>
                                <w:color w:val="000000" w:themeColor="text1"/>
                                <w:sz w:val="20"/>
                                <w:szCs w:val="20"/>
                              </w:rPr>
                              <w:t xml:space="preserve">The second most common country reported was India (14%), accounting for 10/11 </w:t>
                            </w:r>
                            <w:r w:rsidRPr="009F648B">
                              <w:rPr>
                                <w:rFonts w:eastAsia="Cambria" w:cs="Times New Roman"/>
                                <w:b/>
                                <w:color w:val="465E9C" w:themeColor="text2"/>
                                <w:sz w:val="20"/>
                                <w:szCs w:val="20"/>
                              </w:rPr>
                              <w:t xml:space="preserve">Typhoid </w:t>
                            </w:r>
                            <w:r w:rsidRPr="0066016D">
                              <w:rPr>
                                <w:color w:val="000000" w:themeColor="text1"/>
                                <w:sz w:val="20"/>
                                <w:szCs w:val="20"/>
                              </w:rPr>
                              <w:t xml:space="preserve">and 4/5 </w:t>
                            </w:r>
                            <w:r w:rsidRPr="009F648B">
                              <w:rPr>
                                <w:rFonts w:eastAsia="Cambria" w:cs="Times New Roman"/>
                                <w:b/>
                                <w:color w:val="465E9C" w:themeColor="text2"/>
                                <w:sz w:val="20"/>
                                <w:szCs w:val="20"/>
                              </w:rPr>
                              <w:t>Paratyphoid</w:t>
                            </w:r>
                            <w:r w:rsidRPr="0066016D">
                              <w:rPr>
                                <w:color w:val="000000" w:themeColor="text1"/>
                                <w:sz w:val="20"/>
                                <w:szCs w:val="20"/>
                              </w:rPr>
                              <w:t xml:space="preserve"> notifications in the first quarter 2019. </w:t>
                            </w:r>
                          </w:p>
                          <w:p w:rsidR="00E26D2C" w:rsidRPr="002A1586" w:rsidRDefault="00E26D2C" w:rsidP="005D47ED">
                            <w:pPr>
                              <w:rPr>
                                <w:b/>
                                <w:color w:val="465E9C" w:themeColor="text2"/>
                                <w:sz w:val="20"/>
                                <w:szCs w:val="20"/>
                              </w:rPr>
                            </w:pPr>
                            <w:r w:rsidRPr="002A1586">
                              <w:rPr>
                                <w:b/>
                                <w:color w:val="465E9C" w:themeColor="text2"/>
                                <w:sz w:val="20"/>
                                <w:szCs w:val="20"/>
                              </w:rPr>
                              <w:t xml:space="preserve">Shiga toxin producing </w:t>
                            </w:r>
                            <w:r w:rsidRPr="002A1586">
                              <w:rPr>
                                <w:b/>
                                <w:i/>
                                <w:color w:val="465E9C" w:themeColor="text2"/>
                                <w:sz w:val="20"/>
                                <w:szCs w:val="20"/>
                              </w:rPr>
                              <w:t xml:space="preserve">E. coli </w:t>
                            </w:r>
                            <w:r w:rsidRPr="002A1586">
                              <w:rPr>
                                <w:b/>
                                <w:color w:val="465E9C" w:themeColor="text2"/>
                                <w:sz w:val="20"/>
                                <w:szCs w:val="20"/>
                              </w:rPr>
                              <w:t>(STEC)</w:t>
                            </w:r>
                          </w:p>
                          <w:p w:rsidR="0066016D" w:rsidRDefault="00410F6B" w:rsidP="005D47ED">
                            <w:pPr>
                              <w:rPr>
                                <w:color w:val="000000" w:themeColor="text1"/>
                                <w:sz w:val="20"/>
                                <w:szCs w:val="20"/>
                              </w:rPr>
                            </w:pPr>
                            <w:r>
                              <w:rPr>
                                <w:color w:val="000000" w:themeColor="text1"/>
                                <w:sz w:val="20"/>
                                <w:szCs w:val="20"/>
                              </w:rPr>
                              <w:t>Fourteen</w:t>
                            </w:r>
                            <w:r w:rsidR="00B90697">
                              <w:rPr>
                                <w:color w:val="000000" w:themeColor="text1"/>
                                <w:sz w:val="20"/>
                                <w:szCs w:val="20"/>
                              </w:rPr>
                              <w:t xml:space="preserve"> out of 37</w:t>
                            </w:r>
                            <w:r w:rsidR="005D47ED" w:rsidRPr="0066016D">
                              <w:rPr>
                                <w:color w:val="000000" w:themeColor="text1"/>
                                <w:sz w:val="20"/>
                                <w:szCs w:val="20"/>
                              </w:rPr>
                              <w:t xml:space="preserve"> isolates were cultured </w:t>
                            </w:r>
                            <w:r w:rsidR="00B90697">
                              <w:rPr>
                                <w:color w:val="000000" w:themeColor="text1"/>
                                <w:sz w:val="20"/>
                                <w:szCs w:val="20"/>
                              </w:rPr>
                              <w:t>positive</w:t>
                            </w:r>
                            <w:r w:rsidR="005D47ED" w:rsidRPr="0066016D">
                              <w:rPr>
                                <w:color w:val="000000" w:themeColor="text1"/>
                                <w:sz w:val="20"/>
                                <w:szCs w:val="20"/>
                              </w:rPr>
                              <w:t>, the mos</w:t>
                            </w:r>
                            <w:r w:rsidR="00B90697">
                              <w:rPr>
                                <w:color w:val="000000" w:themeColor="text1"/>
                                <w:sz w:val="20"/>
                                <w:szCs w:val="20"/>
                              </w:rPr>
                              <w:t>t common serotype was O157 (n=</w:t>
                            </w:r>
                            <w:r w:rsidR="005D47ED" w:rsidRPr="0066016D">
                              <w:rPr>
                                <w:color w:val="000000" w:themeColor="text1"/>
                                <w:sz w:val="20"/>
                                <w:szCs w:val="20"/>
                              </w:rPr>
                              <w:t>4). No point source outbreaks were identified</w:t>
                            </w:r>
                            <w:r w:rsidR="00D90AC2">
                              <w:rPr>
                                <w:color w:val="000000" w:themeColor="text1"/>
                                <w:sz w:val="20"/>
                                <w:szCs w:val="20"/>
                              </w:rPr>
                              <w:t xml:space="preserve"> in 1Q19</w:t>
                            </w:r>
                            <w:r w:rsidR="005D47ED" w:rsidRPr="0066016D">
                              <w:rPr>
                                <w:color w:val="000000" w:themeColor="text1"/>
                                <w:sz w:val="20"/>
                                <w:szCs w:val="20"/>
                              </w:rPr>
                              <w:t xml:space="preserve">. The large increase is likely due to increased </w:t>
                            </w:r>
                            <w:r w:rsidR="00B90697">
                              <w:rPr>
                                <w:color w:val="000000" w:themeColor="text1"/>
                                <w:sz w:val="20"/>
                                <w:szCs w:val="20"/>
                              </w:rPr>
                              <w:t xml:space="preserve">PCR </w:t>
                            </w:r>
                            <w:r w:rsidR="005D47ED" w:rsidRPr="0066016D">
                              <w:rPr>
                                <w:color w:val="000000" w:themeColor="text1"/>
                                <w:sz w:val="20"/>
                                <w:szCs w:val="20"/>
                              </w:rPr>
                              <w:t xml:space="preserve">testing by one private </w:t>
                            </w:r>
                            <w:r w:rsidR="00B90697" w:rsidRPr="0066016D">
                              <w:rPr>
                                <w:color w:val="000000" w:themeColor="text1"/>
                                <w:sz w:val="20"/>
                                <w:szCs w:val="20"/>
                              </w:rPr>
                              <w:t>lab</w:t>
                            </w:r>
                            <w:r w:rsidR="00B90697">
                              <w:rPr>
                                <w:color w:val="000000" w:themeColor="text1"/>
                                <w:sz w:val="20"/>
                                <w:szCs w:val="20"/>
                              </w:rPr>
                              <w:t>oratory</w:t>
                            </w:r>
                            <w:r w:rsidR="005D47ED" w:rsidRPr="0066016D">
                              <w:rPr>
                                <w:color w:val="000000" w:themeColor="text1"/>
                                <w:sz w:val="20"/>
                                <w:szCs w:val="20"/>
                              </w:rPr>
                              <w:t>.</w:t>
                            </w:r>
                          </w:p>
                          <w:p w:rsidR="0064799B" w:rsidRPr="002A1586" w:rsidRDefault="00E26D2C" w:rsidP="0064799B">
                            <w:pPr>
                              <w:rPr>
                                <w:b/>
                                <w:color w:val="465E9C" w:themeColor="text2"/>
                                <w:sz w:val="20"/>
                                <w:szCs w:val="20"/>
                              </w:rPr>
                            </w:pPr>
                            <w:r w:rsidRPr="002A1586">
                              <w:rPr>
                                <w:b/>
                                <w:color w:val="465E9C" w:themeColor="text2"/>
                                <w:sz w:val="20"/>
                                <w:szCs w:val="20"/>
                              </w:rPr>
                              <w:t>Listeriosis</w:t>
                            </w:r>
                            <w:r w:rsidR="0064799B" w:rsidRPr="002A1586">
                              <w:rPr>
                                <w:b/>
                                <w:color w:val="465E9C" w:themeColor="text2"/>
                                <w:sz w:val="20"/>
                                <w:szCs w:val="20"/>
                              </w:rPr>
                              <w:t xml:space="preserve"> </w:t>
                            </w:r>
                          </w:p>
                          <w:p w:rsidR="0064799B" w:rsidRDefault="00DB0727" w:rsidP="0064799B">
                            <w:pPr>
                              <w:rPr>
                                <w:color w:val="000000" w:themeColor="text1"/>
                                <w:sz w:val="20"/>
                                <w:szCs w:val="20"/>
                              </w:rPr>
                            </w:pPr>
                            <w:r>
                              <w:rPr>
                                <w:color w:val="000000" w:themeColor="text1"/>
                                <w:sz w:val="20"/>
                                <w:szCs w:val="20"/>
                              </w:rPr>
                              <w:t>O</w:t>
                            </w:r>
                            <w:r w:rsidR="0064799B" w:rsidRPr="0066016D">
                              <w:rPr>
                                <w:color w:val="000000" w:themeColor="text1"/>
                                <w:sz w:val="20"/>
                                <w:szCs w:val="20"/>
                              </w:rPr>
                              <w:t>ne materno</w:t>
                            </w:r>
                            <w:r w:rsidR="0064799B">
                              <w:rPr>
                                <w:color w:val="000000" w:themeColor="text1"/>
                                <w:sz w:val="20"/>
                                <w:szCs w:val="20"/>
                              </w:rPr>
                              <w:t>-</w:t>
                            </w:r>
                            <w:r w:rsidR="0064799B" w:rsidRPr="0066016D">
                              <w:rPr>
                                <w:color w:val="000000" w:themeColor="text1"/>
                                <w:sz w:val="20"/>
                                <w:szCs w:val="20"/>
                              </w:rPr>
                              <w:t>fetal pair</w:t>
                            </w:r>
                            <w:r>
                              <w:rPr>
                                <w:color w:val="000000" w:themeColor="text1"/>
                                <w:sz w:val="20"/>
                                <w:szCs w:val="20"/>
                              </w:rPr>
                              <w:t xml:space="preserve"> notified in 1Q19</w:t>
                            </w:r>
                            <w:r w:rsidR="0064799B" w:rsidRPr="0066016D">
                              <w:rPr>
                                <w:color w:val="000000" w:themeColor="text1"/>
                                <w:sz w:val="20"/>
                                <w:szCs w:val="20"/>
                              </w:rPr>
                              <w:t xml:space="preserve">. Two individual cases notified were </w:t>
                            </w:r>
                            <w:r w:rsidR="00D90AC2">
                              <w:rPr>
                                <w:color w:val="000000" w:themeColor="text1"/>
                                <w:sz w:val="20"/>
                                <w:szCs w:val="20"/>
                              </w:rPr>
                              <w:t xml:space="preserve">highly </w:t>
                            </w:r>
                            <w:r w:rsidR="0064799B" w:rsidRPr="0066016D">
                              <w:rPr>
                                <w:color w:val="000000" w:themeColor="text1"/>
                                <w:sz w:val="20"/>
                                <w:szCs w:val="20"/>
                              </w:rPr>
                              <w:t xml:space="preserve">related </w:t>
                            </w:r>
                            <w:r w:rsidR="00D90AC2">
                              <w:rPr>
                                <w:color w:val="000000" w:themeColor="text1"/>
                                <w:sz w:val="20"/>
                                <w:szCs w:val="20"/>
                              </w:rPr>
                              <w:t xml:space="preserve">by WGS. The cases were also identified as potentially related to three human cases notified in 2012, 2017 and 2018. The source of infection could not be confirmed. </w:t>
                            </w:r>
                            <w:r w:rsidR="0064799B" w:rsidRPr="0066016D">
                              <w:rPr>
                                <w:color w:val="000000" w:themeColor="text1"/>
                                <w:sz w:val="20"/>
                                <w:szCs w:val="20"/>
                              </w:rPr>
                              <w:t xml:space="preserve"> </w:t>
                            </w:r>
                          </w:p>
                          <w:p w:rsidR="00E26D2C" w:rsidRPr="002A1586" w:rsidRDefault="00E26D2C" w:rsidP="0064799B">
                            <w:pPr>
                              <w:rPr>
                                <w:b/>
                                <w:color w:val="465E9C" w:themeColor="text2"/>
                                <w:sz w:val="20"/>
                                <w:szCs w:val="20"/>
                              </w:rPr>
                            </w:pPr>
                            <w:r w:rsidRPr="002A1586">
                              <w:rPr>
                                <w:b/>
                                <w:color w:val="465E9C" w:themeColor="text2"/>
                                <w:sz w:val="20"/>
                                <w:szCs w:val="20"/>
                              </w:rPr>
                              <w:t xml:space="preserve">Haemolytic Uraemic Syndrome </w:t>
                            </w:r>
                          </w:p>
                          <w:p w:rsidR="0064799B" w:rsidRPr="0066016D" w:rsidRDefault="0064799B" w:rsidP="0064799B">
                            <w:pPr>
                              <w:rPr>
                                <w:color w:val="000000" w:themeColor="text1"/>
                                <w:sz w:val="20"/>
                                <w:szCs w:val="20"/>
                              </w:rPr>
                            </w:pPr>
                            <w:r>
                              <w:rPr>
                                <w:color w:val="000000" w:themeColor="text1"/>
                                <w:sz w:val="20"/>
                                <w:szCs w:val="20"/>
                              </w:rPr>
                              <w:t>One case</w:t>
                            </w:r>
                            <w:r w:rsidR="008979F5">
                              <w:rPr>
                                <w:color w:val="000000" w:themeColor="text1"/>
                                <w:sz w:val="20"/>
                                <w:szCs w:val="20"/>
                              </w:rPr>
                              <w:t xml:space="preserve"> notified</w:t>
                            </w:r>
                            <w:r w:rsidR="004276EA">
                              <w:rPr>
                                <w:color w:val="000000" w:themeColor="text1"/>
                                <w:sz w:val="20"/>
                                <w:szCs w:val="20"/>
                              </w:rPr>
                              <w:t>, 12 y</w:t>
                            </w:r>
                            <w:r w:rsidR="00B90697">
                              <w:rPr>
                                <w:color w:val="000000" w:themeColor="text1"/>
                                <w:sz w:val="20"/>
                                <w:szCs w:val="20"/>
                              </w:rPr>
                              <w:t>ear old</w:t>
                            </w:r>
                            <w:r w:rsidR="004276EA">
                              <w:rPr>
                                <w:color w:val="000000" w:themeColor="text1"/>
                                <w:sz w:val="20"/>
                                <w:szCs w:val="20"/>
                              </w:rPr>
                              <w:t xml:space="preserve"> female from </w:t>
                            </w:r>
                            <w:r w:rsidR="00B90697">
                              <w:rPr>
                                <w:color w:val="000000" w:themeColor="text1"/>
                                <w:sz w:val="20"/>
                                <w:szCs w:val="20"/>
                              </w:rPr>
                              <w:t xml:space="preserve">the </w:t>
                            </w:r>
                            <w:r w:rsidR="004276EA">
                              <w:rPr>
                                <w:color w:val="000000" w:themeColor="text1"/>
                                <w:sz w:val="20"/>
                                <w:szCs w:val="20"/>
                              </w:rPr>
                              <w:t>South West</w:t>
                            </w:r>
                            <w:r w:rsidR="008979F5">
                              <w:rPr>
                                <w:color w:val="000000" w:themeColor="text1"/>
                                <w:sz w:val="20"/>
                                <w:szCs w:val="20"/>
                              </w:rPr>
                              <w:t xml:space="preserve"> region. Had </w:t>
                            </w:r>
                            <w:r w:rsidR="004276EA">
                              <w:rPr>
                                <w:color w:val="000000" w:themeColor="text1"/>
                                <w:sz w:val="20"/>
                                <w:szCs w:val="20"/>
                              </w:rPr>
                              <w:t>recent gastro</w:t>
                            </w:r>
                            <w:r w:rsidR="008979F5">
                              <w:rPr>
                                <w:color w:val="000000" w:themeColor="text1"/>
                                <w:sz w:val="20"/>
                                <w:szCs w:val="20"/>
                              </w:rPr>
                              <w:t>enteritis</w:t>
                            </w:r>
                            <w:r w:rsidR="004276EA">
                              <w:rPr>
                                <w:color w:val="000000" w:themeColor="text1"/>
                                <w:sz w:val="20"/>
                                <w:szCs w:val="20"/>
                              </w:rPr>
                              <w:t xml:space="preserve"> with bloody diarrhoea, not </w:t>
                            </w:r>
                            <w:r w:rsidR="008979F5">
                              <w:rPr>
                                <w:color w:val="000000" w:themeColor="text1"/>
                                <w:sz w:val="20"/>
                                <w:szCs w:val="20"/>
                              </w:rPr>
                              <w:t>diagnosed.</w:t>
                            </w:r>
                          </w:p>
                          <w:p w:rsidR="0064799B" w:rsidRPr="002A1586" w:rsidRDefault="0064799B" w:rsidP="0064799B">
                            <w:pPr>
                              <w:rPr>
                                <w:b/>
                                <w:color w:val="465E9C" w:themeColor="text2"/>
                                <w:sz w:val="20"/>
                                <w:szCs w:val="20"/>
                              </w:rPr>
                            </w:pPr>
                            <w:r w:rsidRPr="002A1586">
                              <w:rPr>
                                <w:b/>
                                <w:color w:val="465E9C" w:themeColor="text2"/>
                                <w:sz w:val="20"/>
                                <w:szCs w:val="20"/>
                              </w:rPr>
                              <w:t>Hepatitis A</w:t>
                            </w:r>
                            <w:r w:rsidR="00E26D2C" w:rsidRPr="002A1586">
                              <w:rPr>
                                <w:b/>
                                <w:color w:val="465E9C" w:themeColor="text2"/>
                                <w:sz w:val="20"/>
                                <w:szCs w:val="20"/>
                              </w:rPr>
                              <w:t xml:space="preserve"> infection</w:t>
                            </w:r>
                          </w:p>
                          <w:p w:rsidR="0064799B" w:rsidRDefault="0064799B" w:rsidP="0064799B">
                            <w:pPr>
                              <w:rPr>
                                <w:color w:val="000000" w:themeColor="text1"/>
                                <w:sz w:val="20"/>
                                <w:szCs w:val="20"/>
                              </w:rPr>
                            </w:pPr>
                            <w:r>
                              <w:rPr>
                                <w:color w:val="000000" w:themeColor="text1"/>
                                <w:sz w:val="20"/>
                                <w:szCs w:val="20"/>
                              </w:rPr>
                              <w:t>Eleven of the fifteen cases reported overseas travel</w:t>
                            </w:r>
                            <w:r w:rsidR="004276EA">
                              <w:rPr>
                                <w:color w:val="000000" w:themeColor="text1"/>
                                <w:sz w:val="20"/>
                                <w:szCs w:val="20"/>
                              </w:rPr>
                              <w:t xml:space="preserve"> in 1Q19</w:t>
                            </w:r>
                            <w:r>
                              <w:rPr>
                                <w:color w:val="000000" w:themeColor="text1"/>
                                <w:sz w:val="20"/>
                                <w:szCs w:val="20"/>
                              </w:rPr>
                              <w:t xml:space="preserve">, including three sibling pairs. Of the four locally acquired cases, three were secondary transmission from a known travel associated case. </w:t>
                            </w:r>
                          </w:p>
                          <w:p w:rsidR="0064799B" w:rsidRPr="002A1586" w:rsidRDefault="0064799B" w:rsidP="0064799B">
                            <w:pPr>
                              <w:spacing w:after="120"/>
                              <w:rPr>
                                <w:b/>
                                <w:color w:val="465E9C" w:themeColor="text2"/>
                                <w:sz w:val="20"/>
                                <w:szCs w:val="20"/>
                              </w:rPr>
                            </w:pPr>
                            <w:r w:rsidRPr="002A1586">
                              <w:rPr>
                                <w:b/>
                                <w:color w:val="465E9C" w:themeColor="text2"/>
                                <w:sz w:val="20"/>
                                <w:szCs w:val="20"/>
                              </w:rPr>
                              <w:t>Shigell</w:t>
                            </w:r>
                            <w:r w:rsidR="00E26D2C" w:rsidRPr="002A1586">
                              <w:rPr>
                                <w:b/>
                                <w:color w:val="465E9C" w:themeColor="text2"/>
                                <w:sz w:val="20"/>
                                <w:szCs w:val="20"/>
                              </w:rPr>
                              <w:t>osis</w:t>
                            </w:r>
                            <w:r w:rsidRPr="002A1586">
                              <w:rPr>
                                <w:b/>
                                <w:color w:val="465E9C" w:themeColor="text2"/>
                                <w:sz w:val="20"/>
                                <w:szCs w:val="20"/>
                              </w:rPr>
                              <w:t xml:space="preserve"> </w:t>
                            </w:r>
                          </w:p>
                          <w:p w:rsidR="0064799B" w:rsidRPr="0066016D" w:rsidRDefault="0064799B" w:rsidP="0064799B">
                            <w:pPr>
                              <w:rPr>
                                <w:b/>
                                <w:color w:val="000000" w:themeColor="text1"/>
                                <w:sz w:val="20"/>
                                <w:szCs w:val="20"/>
                              </w:rPr>
                            </w:pPr>
                            <w:r w:rsidRPr="0066016D">
                              <w:rPr>
                                <w:color w:val="000000" w:themeColor="text1"/>
                                <w:sz w:val="20"/>
                                <w:szCs w:val="20"/>
                              </w:rPr>
                              <w:t xml:space="preserve">There was an increase in </w:t>
                            </w:r>
                            <w:r w:rsidR="00B90697">
                              <w:rPr>
                                <w:color w:val="000000" w:themeColor="text1"/>
                                <w:sz w:val="20"/>
                                <w:szCs w:val="20"/>
                              </w:rPr>
                              <w:t>the number of notifications of s</w:t>
                            </w:r>
                            <w:r w:rsidRPr="0066016D">
                              <w:rPr>
                                <w:color w:val="000000" w:themeColor="text1"/>
                                <w:sz w:val="20"/>
                                <w:szCs w:val="20"/>
                              </w:rPr>
                              <w:t xml:space="preserve">higellosis. This was driven by an increase in </w:t>
                            </w:r>
                            <w:r w:rsidRPr="00E26D2C">
                              <w:rPr>
                                <w:i/>
                                <w:color w:val="000000" w:themeColor="text1"/>
                                <w:sz w:val="20"/>
                                <w:szCs w:val="20"/>
                              </w:rPr>
                              <w:t>S</w:t>
                            </w:r>
                            <w:r w:rsidR="00E26D2C" w:rsidRPr="00E26D2C">
                              <w:rPr>
                                <w:i/>
                                <w:color w:val="000000" w:themeColor="text1"/>
                                <w:sz w:val="20"/>
                                <w:szCs w:val="20"/>
                              </w:rPr>
                              <w:t>. f</w:t>
                            </w:r>
                            <w:r w:rsidRPr="00E26D2C">
                              <w:rPr>
                                <w:i/>
                                <w:color w:val="000000" w:themeColor="text1"/>
                                <w:sz w:val="20"/>
                                <w:szCs w:val="20"/>
                              </w:rPr>
                              <w:t>lexneri</w:t>
                            </w:r>
                            <w:r w:rsidRPr="0066016D">
                              <w:rPr>
                                <w:color w:val="000000" w:themeColor="text1"/>
                                <w:sz w:val="20"/>
                                <w:szCs w:val="20"/>
                              </w:rPr>
                              <w:t xml:space="preserve"> 2B, predominately in Aboriginal people in the Kimberley, Goldfields and Pilbara regions.</w:t>
                            </w:r>
                            <w:r w:rsidRPr="0066016D">
                              <w:rPr>
                                <w:b/>
                                <w:color w:val="000000" w:themeColor="text1"/>
                                <w:sz w:val="20"/>
                                <w:szCs w:val="20"/>
                              </w:rPr>
                              <w:t xml:space="preserve"> </w:t>
                            </w:r>
                          </w:p>
                          <w:p w:rsidR="0064799B" w:rsidRPr="002A1586" w:rsidRDefault="0064799B" w:rsidP="005D47ED">
                            <w:pPr>
                              <w:rPr>
                                <w:b/>
                                <w:i/>
                                <w:color w:val="465E9C" w:themeColor="text2"/>
                                <w:sz w:val="20"/>
                                <w:szCs w:val="20"/>
                              </w:rPr>
                            </w:pPr>
                            <w:r w:rsidRPr="002A1586">
                              <w:rPr>
                                <w:b/>
                                <w:i/>
                                <w:color w:val="465E9C" w:themeColor="text2"/>
                                <w:sz w:val="20"/>
                                <w:szCs w:val="20"/>
                              </w:rPr>
                              <w:t>Vibrio parahaemolyticus</w:t>
                            </w:r>
                          </w:p>
                          <w:p w:rsidR="0064799B" w:rsidRDefault="0064799B" w:rsidP="005D47ED">
                            <w:pPr>
                              <w:rPr>
                                <w:color w:val="000000" w:themeColor="text1"/>
                                <w:sz w:val="20"/>
                                <w:szCs w:val="20"/>
                              </w:rPr>
                            </w:pPr>
                            <w:r>
                              <w:rPr>
                                <w:color w:val="000000" w:themeColor="text1"/>
                                <w:sz w:val="20"/>
                                <w:szCs w:val="20"/>
                              </w:rPr>
                              <w:t>Four locally acquired cases were rep</w:t>
                            </w:r>
                            <w:r w:rsidR="00DB0727">
                              <w:rPr>
                                <w:color w:val="000000" w:themeColor="text1"/>
                                <w:sz w:val="20"/>
                                <w:szCs w:val="20"/>
                              </w:rPr>
                              <w:t>o</w:t>
                            </w:r>
                            <w:r>
                              <w:rPr>
                                <w:color w:val="000000" w:themeColor="text1"/>
                                <w:sz w:val="20"/>
                                <w:szCs w:val="20"/>
                              </w:rPr>
                              <w:t xml:space="preserve">rted in the 1Q19. Two were associated with eating oysters and two </w:t>
                            </w:r>
                            <w:r w:rsidR="00DB0727">
                              <w:rPr>
                                <w:color w:val="000000" w:themeColor="text1"/>
                                <w:sz w:val="20"/>
                                <w:szCs w:val="20"/>
                              </w:rPr>
                              <w:t>had wound infections following swimming in local waterways</w:t>
                            </w:r>
                            <w:r w:rsidR="004276EA">
                              <w:rPr>
                                <w:color w:val="000000" w:themeColor="text1"/>
                                <w:sz w:val="20"/>
                                <w:szCs w:val="20"/>
                              </w:rPr>
                              <w:t>.</w:t>
                            </w:r>
                          </w:p>
                          <w:p w:rsidR="0064799B" w:rsidRPr="002A1586" w:rsidRDefault="00E26D2C" w:rsidP="005D47ED">
                            <w:pPr>
                              <w:rPr>
                                <w:b/>
                                <w:color w:val="465E9C" w:themeColor="text2"/>
                                <w:sz w:val="20"/>
                                <w:szCs w:val="20"/>
                              </w:rPr>
                            </w:pPr>
                            <w:r w:rsidRPr="002A1586">
                              <w:rPr>
                                <w:b/>
                                <w:color w:val="465E9C" w:themeColor="text2"/>
                                <w:sz w:val="20"/>
                                <w:szCs w:val="20"/>
                              </w:rPr>
                              <w:t>Cryptosporidiosis</w:t>
                            </w:r>
                          </w:p>
                          <w:p w:rsidR="0064799B" w:rsidRPr="0064799B" w:rsidRDefault="00DB0727" w:rsidP="005D47ED">
                            <w:pPr>
                              <w:rPr>
                                <w:color w:val="000000" w:themeColor="text1"/>
                                <w:sz w:val="20"/>
                                <w:szCs w:val="20"/>
                              </w:rPr>
                            </w:pPr>
                            <w:r>
                              <w:rPr>
                                <w:color w:val="000000" w:themeColor="text1"/>
                                <w:sz w:val="20"/>
                                <w:szCs w:val="20"/>
                              </w:rPr>
                              <w:t xml:space="preserve">Outbreak of </w:t>
                            </w:r>
                            <w:r w:rsidRPr="008979F5">
                              <w:rPr>
                                <w:i/>
                                <w:color w:val="000000" w:themeColor="text1"/>
                                <w:sz w:val="20"/>
                                <w:szCs w:val="20"/>
                              </w:rPr>
                              <w:t>Cryptosporidium</w:t>
                            </w:r>
                            <w:r>
                              <w:rPr>
                                <w:color w:val="000000" w:themeColor="text1"/>
                                <w:sz w:val="20"/>
                                <w:szCs w:val="20"/>
                              </w:rPr>
                              <w:t xml:space="preserve"> in </w:t>
                            </w:r>
                            <w:r w:rsidR="00E26D2C">
                              <w:rPr>
                                <w:color w:val="000000" w:themeColor="text1"/>
                                <w:sz w:val="20"/>
                                <w:szCs w:val="20"/>
                              </w:rPr>
                              <w:t xml:space="preserve">the Broome </w:t>
                            </w:r>
                            <w:r w:rsidR="00A218C0">
                              <w:rPr>
                                <w:color w:val="000000" w:themeColor="text1"/>
                                <w:sz w:val="20"/>
                                <w:szCs w:val="20"/>
                              </w:rPr>
                              <w:t>Township</w:t>
                            </w:r>
                            <w:r w:rsidR="008979F5">
                              <w:rPr>
                                <w:color w:val="000000" w:themeColor="text1"/>
                                <w:sz w:val="20"/>
                                <w:szCs w:val="20"/>
                              </w:rPr>
                              <w:t xml:space="preserve">, </w:t>
                            </w:r>
                            <w:r w:rsidR="00A218C0">
                              <w:rPr>
                                <w:color w:val="000000" w:themeColor="text1"/>
                                <w:sz w:val="20"/>
                                <w:szCs w:val="20"/>
                              </w:rPr>
                              <w:t>six</w:t>
                            </w:r>
                            <w:r w:rsidR="008979F5">
                              <w:rPr>
                                <w:color w:val="000000" w:themeColor="text1"/>
                                <w:sz w:val="20"/>
                                <w:szCs w:val="20"/>
                              </w:rPr>
                              <w:t xml:space="preserve"> cases linked</w:t>
                            </w:r>
                            <w:r w:rsidR="00B90697">
                              <w:rPr>
                                <w:color w:val="000000" w:themeColor="text1"/>
                                <w:sz w:val="20"/>
                                <w:szCs w:val="20"/>
                              </w:rPr>
                              <w:t xml:space="preserve"> to local aquatic centre</w:t>
                            </w:r>
                            <w:r>
                              <w:rPr>
                                <w:color w:val="000000" w:themeColor="text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9A8F8" id="_x0000_s1035" type="#_x0000_t202" style="position:absolute;margin-left:-43.2pt;margin-top:-41.95pt;width:528.25pt;height:45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" fillcolor="#d7dded [671]" stroked="f">
                <v:fill opacity="32896f"/>
                <v:textbox>
                  <w:txbxContent>
                    <w:p w:rsidR="0066016D" w:rsidRPr="002A1586" w:rsidRDefault="005D47ED" w:rsidP="0066016D">
                      <w:pPr>
                        <w:pStyle w:val="Caption"/>
                        <w:spacing w:after="120" w:line="240" w:lineRule="auto"/>
                        <w:rPr>
                          <w:color w:val="465E9C" w:themeColor="text2"/>
                          <w:sz w:val="20"/>
                        </w:rPr>
                      </w:pPr>
                      <w:r w:rsidRPr="002A1586">
                        <w:rPr>
                          <w:color w:val="465E9C" w:themeColor="text2"/>
                          <w:sz w:val="20"/>
                        </w:rPr>
                        <w:t>Travel</w:t>
                      </w:r>
                      <w:r w:rsidR="00D050EF" w:rsidRPr="002A1586">
                        <w:rPr>
                          <w:color w:val="465E9C" w:themeColor="text2"/>
                          <w:sz w:val="20"/>
                        </w:rPr>
                        <w:t xml:space="preserve"> associated infection</w:t>
                      </w:r>
                    </w:p>
                    <w:p w:rsidR="005D47ED" w:rsidRPr="0066016D" w:rsidRDefault="00B90697" w:rsidP="005D47ED">
                      <w:pPr>
                        <w:pStyle w:val="Caption"/>
                        <w:spacing w:line="240" w:lineRule="auto"/>
                        <w:rPr>
                          <w:b w:val="0"/>
                          <w:color w:val="000000" w:themeColor="text1"/>
                          <w:sz w:val="20"/>
                        </w:rPr>
                      </w:pPr>
                      <w:r>
                        <w:rPr>
                          <w:b w:val="0"/>
                          <w:color w:val="000000" w:themeColor="text1"/>
                          <w:sz w:val="20"/>
                        </w:rPr>
                        <w:t xml:space="preserve">Overseas acquisition was reported in </w:t>
                      </w:r>
                      <w:r w:rsidR="0012565F" w:rsidRPr="0066016D">
                        <w:rPr>
                          <w:b w:val="0"/>
                          <w:color w:val="000000" w:themeColor="text1"/>
                          <w:sz w:val="20"/>
                        </w:rPr>
                        <w:t>302 (18%)</w:t>
                      </w:r>
                      <w:r w:rsidR="005D47ED" w:rsidRPr="0066016D">
                        <w:rPr>
                          <w:b w:val="0"/>
                          <w:color w:val="000000" w:themeColor="text1"/>
                          <w:sz w:val="20"/>
                        </w:rPr>
                        <w:t xml:space="preserve"> of enteric disease notifications </w:t>
                      </w:r>
                      <w:r w:rsidR="00D050EF" w:rsidRPr="0066016D">
                        <w:rPr>
                          <w:b w:val="0"/>
                          <w:color w:val="000000" w:themeColor="text1"/>
                          <w:sz w:val="20"/>
                        </w:rPr>
                        <w:t>in the 1Q19</w:t>
                      </w:r>
                      <w:r w:rsidR="005D47ED" w:rsidRPr="0066016D">
                        <w:rPr>
                          <w:b w:val="0"/>
                          <w:color w:val="000000" w:themeColor="text1"/>
                          <w:sz w:val="20"/>
                        </w:rPr>
                        <w:t xml:space="preserve">: </w:t>
                      </w:r>
                    </w:p>
                    <w:p w:rsidR="005D47ED" w:rsidRPr="0066016D" w:rsidRDefault="005D47ED" w:rsidP="005D47ED">
                      <w:pPr>
                        <w:pStyle w:val="ListParagraph"/>
                        <w:numPr>
                          <w:ilvl w:val="0"/>
                          <w:numId w:val="2"/>
                        </w:numPr>
                        <w:rPr>
                          <w:color w:val="000000" w:themeColor="text1"/>
                          <w:sz w:val="20"/>
                          <w:szCs w:val="20"/>
                        </w:rPr>
                      </w:pPr>
                      <w:r w:rsidRPr="0066016D">
                        <w:rPr>
                          <w:color w:val="000000" w:themeColor="text1"/>
                          <w:sz w:val="20"/>
                          <w:szCs w:val="20"/>
                        </w:rPr>
                        <w:t xml:space="preserve">The most commonly reported country of acquisition was Indonesia (48%). </w:t>
                      </w:r>
                    </w:p>
                    <w:p w:rsidR="005D47ED" w:rsidRPr="0066016D" w:rsidRDefault="005D47ED" w:rsidP="005D47ED">
                      <w:pPr>
                        <w:pStyle w:val="ListParagraph"/>
                        <w:numPr>
                          <w:ilvl w:val="0"/>
                          <w:numId w:val="2"/>
                        </w:numPr>
                        <w:rPr>
                          <w:color w:val="000000" w:themeColor="text1"/>
                          <w:sz w:val="20"/>
                          <w:szCs w:val="20"/>
                        </w:rPr>
                      </w:pPr>
                      <w:r w:rsidRPr="0066016D">
                        <w:rPr>
                          <w:color w:val="000000" w:themeColor="text1"/>
                          <w:sz w:val="20"/>
                          <w:szCs w:val="20"/>
                        </w:rPr>
                        <w:t xml:space="preserve">The second most common country reported was India (14%), accounting for 10/11 </w:t>
                      </w:r>
                      <w:r w:rsidRPr="009F648B">
                        <w:rPr>
                          <w:rFonts w:eastAsia="Cambria" w:cs="Times New Roman"/>
                          <w:b/>
                          <w:color w:val="465E9C" w:themeColor="text2"/>
                          <w:sz w:val="20"/>
                          <w:szCs w:val="20"/>
                        </w:rPr>
                        <w:t xml:space="preserve">Typhoid </w:t>
                      </w:r>
                      <w:r w:rsidRPr="0066016D">
                        <w:rPr>
                          <w:color w:val="000000" w:themeColor="text1"/>
                          <w:sz w:val="20"/>
                          <w:szCs w:val="20"/>
                        </w:rPr>
                        <w:t xml:space="preserve">and 4/5 </w:t>
                      </w:r>
                      <w:r w:rsidRPr="009F648B">
                        <w:rPr>
                          <w:rFonts w:eastAsia="Cambria" w:cs="Times New Roman"/>
                          <w:b/>
                          <w:color w:val="465E9C" w:themeColor="text2"/>
                          <w:sz w:val="20"/>
                          <w:szCs w:val="20"/>
                        </w:rPr>
                        <w:t>Paratyphoid</w:t>
                      </w:r>
                      <w:r w:rsidRPr="0066016D">
                        <w:rPr>
                          <w:color w:val="000000" w:themeColor="text1"/>
                          <w:sz w:val="20"/>
                          <w:szCs w:val="20"/>
                        </w:rPr>
                        <w:t xml:space="preserve"> notifications in the first quarter 2019. </w:t>
                      </w:r>
                    </w:p>
                    <w:p w:rsidR="00E26D2C" w:rsidRPr="002A1586" w:rsidRDefault="00E26D2C" w:rsidP="005D47ED">
                      <w:pPr>
                        <w:rPr>
                          <w:b/>
                          <w:color w:val="465E9C" w:themeColor="text2"/>
                          <w:sz w:val="20"/>
                          <w:szCs w:val="20"/>
                        </w:rPr>
                      </w:pPr>
                      <w:r w:rsidRPr="002A1586">
                        <w:rPr>
                          <w:b/>
                          <w:color w:val="465E9C" w:themeColor="text2"/>
                          <w:sz w:val="20"/>
                          <w:szCs w:val="20"/>
                        </w:rPr>
                        <w:t xml:space="preserve">Shiga toxin producing </w:t>
                      </w:r>
                      <w:r w:rsidRPr="002A1586">
                        <w:rPr>
                          <w:b/>
                          <w:i/>
                          <w:color w:val="465E9C" w:themeColor="text2"/>
                          <w:sz w:val="20"/>
                          <w:szCs w:val="20"/>
                        </w:rPr>
                        <w:t xml:space="preserve">E. coli </w:t>
                      </w:r>
                      <w:r w:rsidRPr="002A1586">
                        <w:rPr>
                          <w:b/>
                          <w:color w:val="465E9C" w:themeColor="text2"/>
                          <w:sz w:val="20"/>
                          <w:szCs w:val="20"/>
                        </w:rPr>
                        <w:t>(STEC)</w:t>
                      </w:r>
                    </w:p>
                    <w:p w:rsidR="0066016D" w:rsidRDefault="00410F6B" w:rsidP="005D47ED">
                      <w:pPr>
                        <w:rPr>
                          <w:color w:val="000000" w:themeColor="text1"/>
                          <w:sz w:val="20"/>
                          <w:szCs w:val="20"/>
                        </w:rPr>
                      </w:pPr>
                      <w:r>
                        <w:rPr>
                          <w:color w:val="000000" w:themeColor="text1"/>
                          <w:sz w:val="20"/>
                          <w:szCs w:val="20"/>
                        </w:rPr>
                        <w:t>Fourteen</w:t>
                      </w:r>
                      <w:r w:rsidR="00B90697">
                        <w:rPr>
                          <w:color w:val="000000" w:themeColor="text1"/>
                          <w:sz w:val="20"/>
                          <w:szCs w:val="20"/>
                        </w:rPr>
                        <w:t xml:space="preserve"> out of 37</w:t>
                      </w:r>
                      <w:r w:rsidR="005D47ED" w:rsidRPr="0066016D">
                        <w:rPr>
                          <w:color w:val="000000" w:themeColor="text1"/>
                          <w:sz w:val="20"/>
                          <w:szCs w:val="20"/>
                        </w:rPr>
                        <w:t xml:space="preserve"> isolates were cultured </w:t>
                      </w:r>
                      <w:r w:rsidR="00B90697">
                        <w:rPr>
                          <w:color w:val="000000" w:themeColor="text1"/>
                          <w:sz w:val="20"/>
                          <w:szCs w:val="20"/>
                        </w:rPr>
                        <w:t>positive</w:t>
                      </w:r>
                      <w:r w:rsidR="005D47ED" w:rsidRPr="0066016D">
                        <w:rPr>
                          <w:color w:val="000000" w:themeColor="text1"/>
                          <w:sz w:val="20"/>
                          <w:szCs w:val="20"/>
                        </w:rPr>
                        <w:t>, the mos</w:t>
                      </w:r>
                      <w:r w:rsidR="00B90697">
                        <w:rPr>
                          <w:color w:val="000000" w:themeColor="text1"/>
                          <w:sz w:val="20"/>
                          <w:szCs w:val="20"/>
                        </w:rPr>
                        <w:t>t common serotype was O157 (n=</w:t>
                      </w:r>
                      <w:r w:rsidR="005D47ED" w:rsidRPr="0066016D">
                        <w:rPr>
                          <w:color w:val="000000" w:themeColor="text1"/>
                          <w:sz w:val="20"/>
                          <w:szCs w:val="20"/>
                        </w:rPr>
                        <w:t>4). No point source outbreaks were identified</w:t>
                      </w:r>
                      <w:r w:rsidR="00D90AC2">
                        <w:rPr>
                          <w:color w:val="000000" w:themeColor="text1"/>
                          <w:sz w:val="20"/>
                          <w:szCs w:val="20"/>
                        </w:rPr>
                        <w:t xml:space="preserve"> in 1Q19</w:t>
                      </w:r>
                      <w:r w:rsidR="005D47ED" w:rsidRPr="0066016D">
                        <w:rPr>
                          <w:color w:val="000000" w:themeColor="text1"/>
                          <w:sz w:val="20"/>
                          <w:szCs w:val="20"/>
                        </w:rPr>
                        <w:t xml:space="preserve">. The large increase is likely due to increased </w:t>
                      </w:r>
                      <w:r w:rsidR="00B90697">
                        <w:rPr>
                          <w:color w:val="000000" w:themeColor="text1"/>
                          <w:sz w:val="20"/>
                          <w:szCs w:val="20"/>
                        </w:rPr>
                        <w:t xml:space="preserve">PCR </w:t>
                      </w:r>
                      <w:r w:rsidR="005D47ED" w:rsidRPr="0066016D">
                        <w:rPr>
                          <w:color w:val="000000" w:themeColor="text1"/>
                          <w:sz w:val="20"/>
                          <w:szCs w:val="20"/>
                        </w:rPr>
                        <w:t xml:space="preserve">testing by one private </w:t>
                      </w:r>
                      <w:r w:rsidR="00B90697" w:rsidRPr="0066016D">
                        <w:rPr>
                          <w:color w:val="000000" w:themeColor="text1"/>
                          <w:sz w:val="20"/>
                          <w:szCs w:val="20"/>
                        </w:rPr>
                        <w:t>lab</w:t>
                      </w:r>
                      <w:r w:rsidR="00B90697">
                        <w:rPr>
                          <w:color w:val="000000" w:themeColor="text1"/>
                          <w:sz w:val="20"/>
                          <w:szCs w:val="20"/>
                        </w:rPr>
                        <w:t>oratory</w:t>
                      </w:r>
                      <w:r w:rsidR="005D47ED" w:rsidRPr="0066016D">
                        <w:rPr>
                          <w:color w:val="000000" w:themeColor="text1"/>
                          <w:sz w:val="20"/>
                          <w:szCs w:val="20"/>
                        </w:rPr>
                        <w:t>.</w:t>
                      </w:r>
                    </w:p>
                    <w:p w:rsidR="0064799B" w:rsidRPr="002A1586" w:rsidRDefault="00E26D2C" w:rsidP="0064799B">
                      <w:pPr>
                        <w:rPr>
                          <w:b/>
                          <w:color w:val="465E9C" w:themeColor="text2"/>
                          <w:sz w:val="20"/>
                          <w:szCs w:val="20"/>
                        </w:rPr>
                      </w:pPr>
                      <w:r w:rsidRPr="002A1586">
                        <w:rPr>
                          <w:b/>
                          <w:color w:val="465E9C" w:themeColor="text2"/>
                          <w:sz w:val="20"/>
                          <w:szCs w:val="20"/>
                        </w:rPr>
                        <w:t>Listeriosis</w:t>
                      </w:r>
                      <w:r w:rsidR="0064799B" w:rsidRPr="002A1586">
                        <w:rPr>
                          <w:b/>
                          <w:color w:val="465E9C" w:themeColor="text2"/>
                          <w:sz w:val="20"/>
                          <w:szCs w:val="20"/>
                        </w:rPr>
                        <w:t xml:space="preserve"> </w:t>
                      </w:r>
                    </w:p>
                    <w:p w:rsidR="0064799B" w:rsidRDefault="00DB0727" w:rsidP="0064799B">
                      <w:pPr>
                        <w:rPr>
                          <w:color w:val="000000" w:themeColor="text1"/>
                          <w:sz w:val="20"/>
                          <w:szCs w:val="20"/>
                        </w:rPr>
                      </w:pPr>
                      <w:r>
                        <w:rPr>
                          <w:color w:val="000000" w:themeColor="text1"/>
                          <w:sz w:val="20"/>
                          <w:szCs w:val="20"/>
                        </w:rPr>
                        <w:t>O</w:t>
                      </w:r>
                      <w:r w:rsidR="0064799B" w:rsidRPr="0066016D">
                        <w:rPr>
                          <w:color w:val="000000" w:themeColor="text1"/>
                          <w:sz w:val="20"/>
                          <w:szCs w:val="20"/>
                        </w:rPr>
                        <w:t>ne materno</w:t>
                      </w:r>
                      <w:r w:rsidR="0064799B">
                        <w:rPr>
                          <w:color w:val="000000" w:themeColor="text1"/>
                          <w:sz w:val="20"/>
                          <w:szCs w:val="20"/>
                        </w:rPr>
                        <w:t>-</w:t>
                      </w:r>
                      <w:r w:rsidR="0064799B" w:rsidRPr="0066016D">
                        <w:rPr>
                          <w:color w:val="000000" w:themeColor="text1"/>
                          <w:sz w:val="20"/>
                          <w:szCs w:val="20"/>
                        </w:rPr>
                        <w:t>fetal pair</w:t>
                      </w:r>
                      <w:r>
                        <w:rPr>
                          <w:color w:val="000000" w:themeColor="text1"/>
                          <w:sz w:val="20"/>
                          <w:szCs w:val="20"/>
                        </w:rPr>
                        <w:t xml:space="preserve"> notified in 1Q19</w:t>
                      </w:r>
                      <w:r w:rsidR="0064799B" w:rsidRPr="0066016D">
                        <w:rPr>
                          <w:color w:val="000000" w:themeColor="text1"/>
                          <w:sz w:val="20"/>
                          <w:szCs w:val="20"/>
                        </w:rPr>
                        <w:t xml:space="preserve">. Two individual cases notified were </w:t>
                      </w:r>
                      <w:r w:rsidR="00D90AC2">
                        <w:rPr>
                          <w:color w:val="000000" w:themeColor="text1"/>
                          <w:sz w:val="20"/>
                          <w:szCs w:val="20"/>
                        </w:rPr>
                        <w:t xml:space="preserve">highly </w:t>
                      </w:r>
                      <w:r w:rsidR="0064799B" w:rsidRPr="0066016D">
                        <w:rPr>
                          <w:color w:val="000000" w:themeColor="text1"/>
                          <w:sz w:val="20"/>
                          <w:szCs w:val="20"/>
                        </w:rPr>
                        <w:t xml:space="preserve">related </w:t>
                      </w:r>
                      <w:r w:rsidR="00D90AC2">
                        <w:rPr>
                          <w:color w:val="000000" w:themeColor="text1"/>
                          <w:sz w:val="20"/>
                          <w:szCs w:val="20"/>
                        </w:rPr>
                        <w:t xml:space="preserve">by WGS. The cases were also identified as potentially related to three human cases notified in 2012, 2017 and 2018. The source of infection could not be confirmed. </w:t>
                      </w:r>
                      <w:r w:rsidR="0064799B" w:rsidRPr="0066016D">
                        <w:rPr>
                          <w:color w:val="000000" w:themeColor="text1"/>
                          <w:sz w:val="20"/>
                          <w:szCs w:val="20"/>
                        </w:rPr>
                        <w:t xml:space="preserve"> </w:t>
                      </w:r>
                    </w:p>
                    <w:p w:rsidR="00E26D2C" w:rsidRPr="002A1586" w:rsidRDefault="00E26D2C" w:rsidP="0064799B">
                      <w:pPr>
                        <w:rPr>
                          <w:b/>
                          <w:color w:val="465E9C" w:themeColor="text2"/>
                          <w:sz w:val="20"/>
                          <w:szCs w:val="20"/>
                        </w:rPr>
                      </w:pPr>
                      <w:r w:rsidRPr="002A1586">
                        <w:rPr>
                          <w:b/>
                          <w:color w:val="465E9C" w:themeColor="text2"/>
                          <w:sz w:val="20"/>
                          <w:szCs w:val="20"/>
                        </w:rPr>
                        <w:t xml:space="preserve">Haemolytic Uraemic Syndrome </w:t>
                      </w:r>
                    </w:p>
                    <w:p w:rsidR="0064799B" w:rsidRPr="0066016D" w:rsidRDefault="0064799B" w:rsidP="0064799B">
                      <w:pPr>
                        <w:rPr>
                          <w:color w:val="000000" w:themeColor="text1"/>
                          <w:sz w:val="20"/>
                          <w:szCs w:val="20"/>
                        </w:rPr>
                      </w:pPr>
                      <w:r>
                        <w:rPr>
                          <w:color w:val="000000" w:themeColor="text1"/>
                          <w:sz w:val="20"/>
                          <w:szCs w:val="20"/>
                        </w:rPr>
                        <w:t>One case</w:t>
                      </w:r>
                      <w:r w:rsidR="008979F5">
                        <w:rPr>
                          <w:color w:val="000000" w:themeColor="text1"/>
                          <w:sz w:val="20"/>
                          <w:szCs w:val="20"/>
                        </w:rPr>
                        <w:t xml:space="preserve"> notified</w:t>
                      </w:r>
                      <w:r w:rsidR="004276EA">
                        <w:rPr>
                          <w:color w:val="000000" w:themeColor="text1"/>
                          <w:sz w:val="20"/>
                          <w:szCs w:val="20"/>
                        </w:rPr>
                        <w:t>, 12 y</w:t>
                      </w:r>
                      <w:r w:rsidR="00B90697">
                        <w:rPr>
                          <w:color w:val="000000" w:themeColor="text1"/>
                          <w:sz w:val="20"/>
                          <w:szCs w:val="20"/>
                        </w:rPr>
                        <w:t>ear old</w:t>
                      </w:r>
                      <w:r w:rsidR="004276EA">
                        <w:rPr>
                          <w:color w:val="000000" w:themeColor="text1"/>
                          <w:sz w:val="20"/>
                          <w:szCs w:val="20"/>
                        </w:rPr>
                        <w:t xml:space="preserve"> female from </w:t>
                      </w:r>
                      <w:r w:rsidR="00B90697">
                        <w:rPr>
                          <w:color w:val="000000" w:themeColor="text1"/>
                          <w:sz w:val="20"/>
                          <w:szCs w:val="20"/>
                        </w:rPr>
                        <w:t xml:space="preserve">the </w:t>
                      </w:r>
                      <w:r w:rsidR="004276EA">
                        <w:rPr>
                          <w:color w:val="000000" w:themeColor="text1"/>
                          <w:sz w:val="20"/>
                          <w:szCs w:val="20"/>
                        </w:rPr>
                        <w:t>South West</w:t>
                      </w:r>
                      <w:r w:rsidR="008979F5">
                        <w:rPr>
                          <w:color w:val="000000" w:themeColor="text1"/>
                          <w:sz w:val="20"/>
                          <w:szCs w:val="20"/>
                        </w:rPr>
                        <w:t xml:space="preserve"> region. Had </w:t>
                      </w:r>
                      <w:r w:rsidR="004276EA">
                        <w:rPr>
                          <w:color w:val="000000" w:themeColor="text1"/>
                          <w:sz w:val="20"/>
                          <w:szCs w:val="20"/>
                        </w:rPr>
                        <w:t>recent gastro</w:t>
                      </w:r>
                      <w:r w:rsidR="008979F5">
                        <w:rPr>
                          <w:color w:val="000000" w:themeColor="text1"/>
                          <w:sz w:val="20"/>
                          <w:szCs w:val="20"/>
                        </w:rPr>
                        <w:t>enteritis</w:t>
                      </w:r>
                      <w:r w:rsidR="004276EA">
                        <w:rPr>
                          <w:color w:val="000000" w:themeColor="text1"/>
                          <w:sz w:val="20"/>
                          <w:szCs w:val="20"/>
                        </w:rPr>
                        <w:t xml:space="preserve"> with bloody diarrhoea, not </w:t>
                      </w:r>
                      <w:r w:rsidR="008979F5">
                        <w:rPr>
                          <w:color w:val="000000" w:themeColor="text1"/>
                          <w:sz w:val="20"/>
                          <w:szCs w:val="20"/>
                        </w:rPr>
                        <w:t>diagnosed.</w:t>
                      </w:r>
                    </w:p>
                    <w:p w:rsidR="0064799B" w:rsidRPr="002A1586" w:rsidRDefault="0064799B" w:rsidP="0064799B">
                      <w:pPr>
                        <w:rPr>
                          <w:b/>
                          <w:color w:val="465E9C" w:themeColor="text2"/>
                          <w:sz w:val="20"/>
                          <w:szCs w:val="20"/>
                        </w:rPr>
                      </w:pPr>
                      <w:r w:rsidRPr="002A1586">
                        <w:rPr>
                          <w:b/>
                          <w:color w:val="465E9C" w:themeColor="text2"/>
                          <w:sz w:val="20"/>
                          <w:szCs w:val="20"/>
                        </w:rPr>
                        <w:t>Hepatitis A</w:t>
                      </w:r>
                      <w:r w:rsidR="00E26D2C" w:rsidRPr="002A1586">
                        <w:rPr>
                          <w:b/>
                          <w:color w:val="465E9C" w:themeColor="text2"/>
                          <w:sz w:val="20"/>
                          <w:szCs w:val="20"/>
                        </w:rPr>
                        <w:t xml:space="preserve"> infection</w:t>
                      </w:r>
                    </w:p>
                    <w:p w:rsidR="0064799B" w:rsidRDefault="0064799B" w:rsidP="0064799B">
                      <w:pPr>
                        <w:rPr>
                          <w:color w:val="000000" w:themeColor="text1"/>
                          <w:sz w:val="20"/>
                          <w:szCs w:val="20"/>
                        </w:rPr>
                      </w:pPr>
                      <w:r>
                        <w:rPr>
                          <w:color w:val="000000" w:themeColor="text1"/>
                          <w:sz w:val="20"/>
                          <w:szCs w:val="20"/>
                        </w:rPr>
                        <w:t>Eleven of the fifteen cases reported overseas travel</w:t>
                      </w:r>
                      <w:r w:rsidR="004276EA">
                        <w:rPr>
                          <w:color w:val="000000" w:themeColor="text1"/>
                          <w:sz w:val="20"/>
                          <w:szCs w:val="20"/>
                        </w:rPr>
                        <w:t xml:space="preserve"> in 1Q19</w:t>
                      </w:r>
                      <w:r>
                        <w:rPr>
                          <w:color w:val="000000" w:themeColor="text1"/>
                          <w:sz w:val="20"/>
                          <w:szCs w:val="20"/>
                        </w:rPr>
                        <w:t xml:space="preserve">, including three sibling pairs. Of the four locally acquired cases, three were secondary transmission from a known travel associated case. </w:t>
                      </w:r>
                    </w:p>
                    <w:p w:rsidR="0064799B" w:rsidRPr="002A1586" w:rsidRDefault="0064799B" w:rsidP="0064799B">
                      <w:pPr>
                        <w:spacing w:after="120"/>
                        <w:rPr>
                          <w:b/>
                          <w:color w:val="465E9C" w:themeColor="text2"/>
                          <w:sz w:val="20"/>
                          <w:szCs w:val="20"/>
                        </w:rPr>
                      </w:pPr>
                      <w:r w:rsidRPr="002A1586">
                        <w:rPr>
                          <w:b/>
                          <w:color w:val="465E9C" w:themeColor="text2"/>
                          <w:sz w:val="20"/>
                          <w:szCs w:val="20"/>
                        </w:rPr>
                        <w:t>Shigell</w:t>
                      </w:r>
                      <w:r w:rsidR="00E26D2C" w:rsidRPr="002A1586">
                        <w:rPr>
                          <w:b/>
                          <w:color w:val="465E9C" w:themeColor="text2"/>
                          <w:sz w:val="20"/>
                          <w:szCs w:val="20"/>
                        </w:rPr>
                        <w:t>osis</w:t>
                      </w:r>
                      <w:r w:rsidRPr="002A1586">
                        <w:rPr>
                          <w:b/>
                          <w:color w:val="465E9C" w:themeColor="text2"/>
                          <w:sz w:val="20"/>
                          <w:szCs w:val="20"/>
                        </w:rPr>
                        <w:t xml:space="preserve"> </w:t>
                      </w:r>
                    </w:p>
                    <w:p w:rsidR="0064799B" w:rsidRPr="0066016D" w:rsidRDefault="0064799B" w:rsidP="0064799B">
                      <w:pPr>
                        <w:rPr>
                          <w:b/>
                          <w:color w:val="000000" w:themeColor="text1"/>
                          <w:sz w:val="20"/>
                          <w:szCs w:val="20"/>
                        </w:rPr>
                      </w:pPr>
                      <w:r w:rsidRPr="0066016D">
                        <w:rPr>
                          <w:color w:val="000000" w:themeColor="text1"/>
                          <w:sz w:val="20"/>
                          <w:szCs w:val="20"/>
                        </w:rPr>
                        <w:t xml:space="preserve">There was an increase in </w:t>
                      </w:r>
                      <w:r w:rsidR="00B90697">
                        <w:rPr>
                          <w:color w:val="000000" w:themeColor="text1"/>
                          <w:sz w:val="20"/>
                          <w:szCs w:val="20"/>
                        </w:rPr>
                        <w:t>the number of notifications of s</w:t>
                      </w:r>
                      <w:r w:rsidRPr="0066016D">
                        <w:rPr>
                          <w:color w:val="000000" w:themeColor="text1"/>
                          <w:sz w:val="20"/>
                          <w:szCs w:val="20"/>
                        </w:rPr>
                        <w:t xml:space="preserve">higellosis. This was driven by an increase in </w:t>
                      </w:r>
                      <w:r w:rsidRPr="00E26D2C">
                        <w:rPr>
                          <w:i/>
                          <w:color w:val="000000" w:themeColor="text1"/>
                          <w:sz w:val="20"/>
                          <w:szCs w:val="20"/>
                        </w:rPr>
                        <w:t>S</w:t>
                      </w:r>
                      <w:r w:rsidR="00E26D2C" w:rsidRPr="00E26D2C">
                        <w:rPr>
                          <w:i/>
                          <w:color w:val="000000" w:themeColor="text1"/>
                          <w:sz w:val="20"/>
                          <w:szCs w:val="20"/>
                        </w:rPr>
                        <w:t>. f</w:t>
                      </w:r>
                      <w:r w:rsidRPr="00E26D2C">
                        <w:rPr>
                          <w:i/>
                          <w:color w:val="000000" w:themeColor="text1"/>
                          <w:sz w:val="20"/>
                          <w:szCs w:val="20"/>
                        </w:rPr>
                        <w:t>lexneri</w:t>
                      </w:r>
                      <w:r w:rsidRPr="0066016D">
                        <w:rPr>
                          <w:color w:val="000000" w:themeColor="text1"/>
                          <w:sz w:val="20"/>
                          <w:szCs w:val="20"/>
                        </w:rPr>
                        <w:t xml:space="preserve"> 2B, predominately in Aboriginal people in the Kimberley, Goldfields and Pilbara regions.</w:t>
                      </w:r>
                      <w:r w:rsidRPr="0066016D">
                        <w:rPr>
                          <w:b/>
                          <w:color w:val="000000" w:themeColor="text1"/>
                          <w:sz w:val="20"/>
                          <w:szCs w:val="20"/>
                        </w:rPr>
                        <w:t xml:space="preserve"> </w:t>
                      </w:r>
                    </w:p>
                    <w:p w:rsidR="0064799B" w:rsidRPr="002A1586" w:rsidRDefault="0064799B" w:rsidP="005D47ED">
                      <w:pPr>
                        <w:rPr>
                          <w:b/>
                          <w:i/>
                          <w:color w:val="465E9C" w:themeColor="text2"/>
                          <w:sz w:val="20"/>
                          <w:szCs w:val="20"/>
                        </w:rPr>
                      </w:pPr>
                      <w:r w:rsidRPr="002A1586">
                        <w:rPr>
                          <w:b/>
                          <w:i/>
                          <w:color w:val="465E9C" w:themeColor="text2"/>
                          <w:sz w:val="20"/>
                          <w:szCs w:val="20"/>
                        </w:rPr>
                        <w:t>Vibrio parahaemolyticus</w:t>
                      </w:r>
                    </w:p>
                    <w:p w:rsidR="0064799B" w:rsidRDefault="0064799B" w:rsidP="005D47ED">
                      <w:pPr>
                        <w:rPr>
                          <w:color w:val="000000" w:themeColor="text1"/>
                          <w:sz w:val="20"/>
                          <w:szCs w:val="20"/>
                        </w:rPr>
                      </w:pPr>
                      <w:r>
                        <w:rPr>
                          <w:color w:val="000000" w:themeColor="text1"/>
                          <w:sz w:val="20"/>
                          <w:szCs w:val="20"/>
                        </w:rPr>
                        <w:t>Four locally acquired cases were rep</w:t>
                      </w:r>
                      <w:r w:rsidR="00DB0727">
                        <w:rPr>
                          <w:color w:val="000000" w:themeColor="text1"/>
                          <w:sz w:val="20"/>
                          <w:szCs w:val="20"/>
                        </w:rPr>
                        <w:t>o</w:t>
                      </w:r>
                      <w:r>
                        <w:rPr>
                          <w:color w:val="000000" w:themeColor="text1"/>
                          <w:sz w:val="20"/>
                          <w:szCs w:val="20"/>
                        </w:rPr>
                        <w:t xml:space="preserve">rted in the 1Q19. Two were associated with eating oysters and two </w:t>
                      </w:r>
                      <w:r w:rsidR="00DB0727">
                        <w:rPr>
                          <w:color w:val="000000" w:themeColor="text1"/>
                          <w:sz w:val="20"/>
                          <w:szCs w:val="20"/>
                        </w:rPr>
                        <w:t>had wound infections following swimming in local waterways</w:t>
                      </w:r>
                      <w:r w:rsidR="004276EA">
                        <w:rPr>
                          <w:color w:val="000000" w:themeColor="text1"/>
                          <w:sz w:val="20"/>
                          <w:szCs w:val="20"/>
                        </w:rPr>
                        <w:t>.</w:t>
                      </w:r>
                    </w:p>
                    <w:p w:rsidR="0064799B" w:rsidRPr="002A1586" w:rsidRDefault="00E26D2C" w:rsidP="005D47ED">
                      <w:pPr>
                        <w:rPr>
                          <w:b/>
                          <w:color w:val="465E9C" w:themeColor="text2"/>
                          <w:sz w:val="20"/>
                          <w:szCs w:val="20"/>
                        </w:rPr>
                      </w:pPr>
                      <w:r w:rsidRPr="002A1586">
                        <w:rPr>
                          <w:b/>
                          <w:color w:val="465E9C" w:themeColor="text2"/>
                          <w:sz w:val="20"/>
                          <w:szCs w:val="20"/>
                        </w:rPr>
                        <w:t>Cryptosporidiosis</w:t>
                      </w:r>
                    </w:p>
                    <w:p w:rsidR="0064799B" w:rsidRPr="0064799B" w:rsidRDefault="00DB0727" w:rsidP="005D47ED">
                      <w:pPr>
                        <w:rPr>
                          <w:color w:val="000000" w:themeColor="text1"/>
                          <w:sz w:val="20"/>
                          <w:szCs w:val="20"/>
                        </w:rPr>
                      </w:pPr>
                      <w:r>
                        <w:rPr>
                          <w:color w:val="000000" w:themeColor="text1"/>
                          <w:sz w:val="20"/>
                          <w:szCs w:val="20"/>
                        </w:rPr>
                        <w:t xml:space="preserve">Outbreak of </w:t>
                      </w:r>
                      <w:r w:rsidRPr="008979F5">
                        <w:rPr>
                          <w:i/>
                          <w:color w:val="000000" w:themeColor="text1"/>
                          <w:sz w:val="20"/>
                          <w:szCs w:val="20"/>
                        </w:rPr>
                        <w:t>Cryptosporidium</w:t>
                      </w:r>
                      <w:r>
                        <w:rPr>
                          <w:color w:val="000000" w:themeColor="text1"/>
                          <w:sz w:val="20"/>
                          <w:szCs w:val="20"/>
                        </w:rPr>
                        <w:t xml:space="preserve"> in </w:t>
                      </w:r>
                      <w:r w:rsidR="00E26D2C">
                        <w:rPr>
                          <w:color w:val="000000" w:themeColor="text1"/>
                          <w:sz w:val="20"/>
                          <w:szCs w:val="20"/>
                        </w:rPr>
                        <w:t xml:space="preserve">the Broome </w:t>
                      </w:r>
                      <w:r w:rsidR="00A218C0">
                        <w:rPr>
                          <w:color w:val="000000" w:themeColor="text1"/>
                          <w:sz w:val="20"/>
                          <w:szCs w:val="20"/>
                        </w:rPr>
                        <w:t>Township</w:t>
                      </w:r>
                      <w:r w:rsidR="008979F5">
                        <w:rPr>
                          <w:color w:val="000000" w:themeColor="text1"/>
                          <w:sz w:val="20"/>
                          <w:szCs w:val="20"/>
                        </w:rPr>
                        <w:t xml:space="preserve">, </w:t>
                      </w:r>
                      <w:r w:rsidR="00A218C0">
                        <w:rPr>
                          <w:color w:val="000000" w:themeColor="text1"/>
                          <w:sz w:val="20"/>
                          <w:szCs w:val="20"/>
                        </w:rPr>
                        <w:t>six</w:t>
                      </w:r>
                      <w:r w:rsidR="008979F5">
                        <w:rPr>
                          <w:color w:val="000000" w:themeColor="text1"/>
                          <w:sz w:val="20"/>
                          <w:szCs w:val="20"/>
                        </w:rPr>
                        <w:t xml:space="preserve"> cases linked</w:t>
                      </w:r>
                      <w:r w:rsidR="00B90697">
                        <w:rPr>
                          <w:color w:val="000000" w:themeColor="text1"/>
                          <w:sz w:val="20"/>
                          <w:szCs w:val="20"/>
                        </w:rPr>
                        <w:t xml:space="preserve"> to local aquatic centre</w:t>
                      </w:r>
                      <w:r>
                        <w:rPr>
                          <w:color w:val="000000" w:themeColor="text1"/>
                          <w:sz w:val="20"/>
                          <w:szCs w:val="20"/>
                        </w:rPr>
                        <w:t xml:space="preserve">. </w:t>
                      </w:r>
                    </w:p>
                  </w:txbxContent>
                </v:textbox>
              </v:shape>
            </w:pict>
          </mc:Fallback>
        </mc:AlternateContent>
      </w:r>
    </w:p>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Pr="00DB0727" w:rsidRDefault="00DB0727" w:rsidP="00DB0727"/>
    <w:p w:rsidR="00DB0727" w:rsidRDefault="00DB0727" w:rsidP="00DB0727"/>
    <w:p w:rsidR="00DB0727" w:rsidRDefault="00DB0727" w:rsidP="00DB0727"/>
    <w:p w:rsidR="005D47ED" w:rsidRPr="00DB0727" w:rsidRDefault="00DB0727" w:rsidP="00DB0727">
      <w:pPr>
        <w:tabs>
          <w:tab w:val="left" w:pos="1753"/>
        </w:tabs>
      </w:pPr>
      <w:r>
        <w:tab/>
      </w:r>
    </w:p>
    <w:sectPr w:rsidR="005D47ED" w:rsidRPr="00DB07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266" w:rsidRDefault="00F16266" w:rsidP="00F16266">
      <w:pPr>
        <w:spacing w:after="0"/>
      </w:pPr>
      <w:r>
        <w:separator/>
      </w:r>
    </w:p>
  </w:endnote>
  <w:endnote w:type="continuationSeparator" w:id="0">
    <w:p w:rsidR="00F16266" w:rsidRDefault="00F16266" w:rsidP="00F162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266" w:rsidRDefault="00F16266" w:rsidP="00F16266">
      <w:pPr>
        <w:spacing w:after="0"/>
      </w:pPr>
      <w:r>
        <w:separator/>
      </w:r>
    </w:p>
  </w:footnote>
  <w:footnote w:type="continuationSeparator" w:id="0">
    <w:p w:rsidR="00F16266" w:rsidRDefault="00F16266" w:rsidP="00F162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C32"/>
    <w:multiLevelType w:val="hybridMultilevel"/>
    <w:tmpl w:val="10D4FB6A"/>
    <w:lvl w:ilvl="0" w:tplc="EDB003E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2D1603"/>
    <w:multiLevelType w:val="hybridMultilevel"/>
    <w:tmpl w:val="2D30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7D402E"/>
    <w:multiLevelType w:val="hybridMultilevel"/>
    <w:tmpl w:val="AF889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FDA023"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6F0"/>
    <w:rsid w:val="00070BEF"/>
    <w:rsid w:val="00087462"/>
    <w:rsid w:val="0012565F"/>
    <w:rsid w:val="0014114D"/>
    <w:rsid w:val="001437E0"/>
    <w:rsid w:val="0016080B"/>
    <w:rsid w:val="00171B7B"/>
    <w:rsid w:val="001C6153"/>
    <w:rsid w:val="001C7D1F"/>
    <w:rsid w:val="001F6030"/>
    <w:rsid w:val="001F68E9"/>
    <w:rsid w:val="00220E8F"/>
    <w:rsid w:val="0024249E"/>
    <w:rsid w:val="00256108"/>
    <w:rsid w:val="00286B46"/>
    <w:rsid w:val="002A1586"/>
    <w:rsid w:val="002C7D7D"/>
    <w:rsid w:val="00355004"/>
    <w:rsid w:val="003929E7"/>
    <w:rsid w:val="003A6E65"/>
    <w:rsid w:val="00410F6B"/>
    <w:rsid w:val="004175D4"/>
    <w:rsid w:val="004230AE"/>
    <w:rsid w:val="0042350C"/>
    <w:rsid w:val="004276EA"/>
    <w:rsid w:val="00447A73"/>
    <w:rsid w:val="00466DB9"/>
    <w:rsid w:val="00471692"/>
    <w:rsid w:val="004A609E"/>
    <w:rsid w:val="004B30D5"/>
    <w:rsid w:val="004C2780"/>
    <w:rsid w:val="004C6976"/>
    <w:rsid w:val="005077EF"/>
    <w:rsid w:val="0056716B"/>
    <w:rsid w:val="00576EE6"/>
    <w:rsid w:val="005A409E"/>
    <w:rsid w:val="005D47ED"/>
    <w:rsid w:val="00637658"/>
    <w:rsid w:val="0064090A"/>
    <w:rsid w:val="0064799B"/>
    <w:rsid w:val="0066016D"/>
    <w:rsid w:val="006F36F0"/>
    <w:rsid w:val="006F52D0"/>
    <w:rsid w:val="00712477"/>
    <w:rsid w:val="0077027C"/>
    <w:rsid w:val="007D7512"/>
    <w:rsid w:val="007D793C"/>
    <w:rsid w:val="007F410D"/>
    <w:rsid w:val="008449C2"/>
    <w:rsid w:val="0087065F"/>
    <w:rsid w:val="00881846"/>
    <w:rsid w:val="00897837"/>
    <w:rsid w:val="008979F5"/>
    <w:rsid w:val="008C56B7"/>
    <w:rsid w:val="008F7FE4"/>
    <w:rsid w:val="0090693F"/>
    <w:rsid w:val="00926467"/>
    <w:rsid w:val="00930DF8"/>
    <w:rsid w:val="009342F3"/>
    <w:rsid w:val="00937EBD"/>
    <w:rsid w:val="009668ED"/>
    <w:rsid w:val="00981DA1"/>
    <w:rsid w:val="00990D6C"/>
    <w:rsid w:val="009B36C8"/>
    <w:rsid w:val="009D1723"/>
    <w:rsid w:val="009F648B"/>
    <w:rsid w:val="00A218C0"/>
    <w:rsid w:val="00A91C4C"/>
    <w:rsid w:val="00AA22A0"/>
    <w:rsid w:val="00AA663C"/>
    <w:rsid w:val="00B15A8E"/>
    <w:rsid w:val="00B533A7"/>
    <w:rsid w:val="00B62E68"/>
    <w:rsid w:val="00B70DAF"/>
    <w:rsid w:val="00B90697"/>
    <w:rsid w:val="00BB48D3"/>
    <w:rsid w:val="00BB5682"/>
    <w:rsid w:val="00BD41EB"/>
    <w:rsid w:val="00BE1F4C"/>
    <w:rsid w:val="00BE3C2D"/>
    <w:rsid w:val="00BE50E9"/>
    <w:rsid w:val="00C53645"/>
    <w:rsid w:val="00C6252C"/>
    <w:rsid w:val="00C7143D"/>
    <w:rsid w:val="00CF64E2"/>
    <w:rsid w:val="00D050EF"/>
    <w:rsid w:val="00D147D4"/>
    <w:rsid w:val="00D723C4"/>
    <w:rsid w:val="00D90AC2"/>
    <w:rsid w:val="00D9301F"/>
    <w:rsid w:val="00DB0727"/>
    <w:rsid w:val="00DC7646"/>
    <w:rsid w:val="00DE4BFE"/>
    <w:rsid w:val="00E26D2C"/>
    <w:rsid w:val="00E40563"/>
    <w:rsid w:val="00E47483"/>
    <w:rsid w:val="00E8491C"/>
    <w:rsid w:val="00F16266"/>
    <w:rsid w:val="00FB2D91"/>
    <w:rsid w:val="00FB7719"/>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8315"/>
  <w15:docId w15:val="{865C49BE-470B-4FD5-BC90-C6D42F27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F16266"/>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FDA023"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FDA023"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465E9C"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465E9C"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FDA023"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FDA023"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465E9C"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465E9C"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D57B02"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FDA023" w:themeColor="accent1"/>
          <w:left w:val="nil"/>
          <w:bottom w:val="single" w:sz="8" w:space="0" w:color="FDA023" w:themeColor="accent1"/>
          <w:right w:val="nil"/>
          <w:insideH w:val="nil"/>
          <w:insideV w:val="nil"/>
        </w:tcBorders>
      </w:tcPr>
    </w:tblStylePr>
    <w:tblStylePr w:type="lastRow">
      <w:pPr>
        <w:spacing w:before="0" w:after="0" w:line="240" w:lineRule="auto"/>
      </w:pPr>
      <w:rPr>
        <w:b/>
        <w:bCs/>
      </w:rPr>
      <w:tblPr/>
      <w:tcPr>
        <w:tcBorders>
          <w:top w:val="single" w:sz="8" w:space="0" w:color="FDA023" w:themeColor="accent1"/>
          <w:left w:val="nil"/>
          <w:bottom w:val="single" w:sz="8" w:space="0" w:color="FDA0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7C8" w:themeFill="accent1" w:themeFillTint="3F"/>
      </w:tcPr>
    </w:tblStylePr>
    <w:tblStylePr w:type="band1Horz">
      <w:tblPr/>
      <w:tcPr>
        <w:tcBorders>
          <w:left w:val="nil"/>
          <w:right w:val="nil"/>
          <w:insideH w:val="nil"/>
          <w:insideV w:val="nil"/>
        </w:tcBorders>
        <w:shd w:val="clear" w:color="auto" w:fill="AA2B1E"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FDA023" w:themeColor="accent1"/>
        <w:left w:val="single" w:sz="8" w:space="0" w:color="FDA023" w:themeColor="accent1"/>
        <w:bottom w:val="single" w:sz="8" w:space="0" w:color="FDA023" w:themeColor="accent1"/>
        <w:right w:val="single" w:sz="8" w:space="0" w:color="FDA023" w:themeColor="accent1"/>
      </w:tblBorders>
    </w:tblPr>
    <w:tblStylePr w:type="firstRow">
      <w:pPr>
        <w:spacing w:before="0" w:after="0" w:line="240" w:lineRule="auto"/>
      </w:pPr>
      <w:rPr>
        <w:b/>
        <w:bCs/>
        <w:color w:val="FFFFFF" w:themeColor="background1"/>
      </w:rPr>
      <w:tblPr/>
      <w:tcPr>
        <w:shd w:val="clear" w:color="auto" w:fill="FDA023" w:themeFill="accent1"/>
      </w:tcPr>
    </w:tblStylePr>
    <w:tblStylePr w:type="lastRow">
      <w:pPr>
        <w:spacing w:before="0" w:after="0" w:line="240" w:lineRule="auto"/>
      </w:pPr>
      <w:rPr>
        <w:b/>
        <w:bCs/>
      </w:rPr>
      <w:tblPr/>
      <w:tcPr>
        <w:tcBorders>
          <w:top w:val="double" w:sz="6" w:space="0" w:color="FDA023" w:themeColor="accent1"/>
          <w:left w:val="single" w:sz="8" w:space="0" w:color="FDA023" w:themeColor="accent1"/>
          <w:bottom w:val="single" w:sz="8" w:space="0" w:color="FDA023" w:themeColor="accent1"/>
          <w:right w:val="single" w:sz="8" w:space="0" w:color="FDA023" w:themeColor="accent1"/>
        </w:tcBorders>
      </w:tcPr>
    </w:tblStylePr>
    <w:tblStylePr w:type="firstCol">
      <w:rPr>
        <w:b/>
        <w:bCs/>
      </w:rPr>
    </w:tblStylePr>
    <w:tblStylePr w:type="lastCol">
      <w:rPr>
        <w:b/>
        <w:bCs/>
      </w:rPr>
    </w:tblStylePr>
    <w:tblStylePr w:type="band1Vert">
      <w:tblPr/>
      <w:tcPr>
        <w:tcBorders>
          <w:top w:val="single" w:sz="8" w:space="0" w:color="FDA023" w:themeColor="accent1"/>
          <w:left w:val="single" w:sz="8" w:space="0" w:color="FDA023" w:themeColor="accent1"/>
          <w:bottom w:val="single" w:sz="8" w:space="0" w:color="FDA023" w:themeColor="accent1"/>
          <w:right w:val="single" w:sz="8" w:space="0" w:color="FDA023" w:themeColor="accent1"/>
        </w:tcBorders>
      </w:tcPr>
    </w:tblStylePr>
    <w:tblStylePr w:type="band1Horz">
      <w:tblPr/>
      <w:tcPr>
        <w:tcBorders>
          <w:top w:val="single" w:sz="8" w:space="0" w:color="FDA023" w:themeColor="accent1"/>
          <w:left w:val="single" w:sz="8" w:space="0" w:color="FDA023" w:themeColor="accent1"/>
          <w:bottom w:val="single" w:sz="8" w:space="0" w:color="FDA023" w:themeColor="accent1"/>
          <w:right w:val="single" w:sz="8" w:space="0" w:color="FDA023" w:themeColor="accent1"/>
        </w:tcBorders>
      </w:tcPr>
    </w:tblStylePr>
  </w:style>
  <w:style w:type="table" w:styleId="LightShading-Accent1">
    <w:name w:val="Light Shading Accent 1"/>
    <w:basedOn w:val="TableNormal"/>
    <w:uiPriority w:val="60"/>
    <w:rsid w:val="001F68E9"/>
    <w:pPr>
      <w:spacing w:after="0" w:line="240" w:lineRule="auto"/>
    </w:pPr>
    <w:rPr>
      <w:color w:val="D57B02" w:themeColor="accent1" w:themeShade="BF"/>
    </w:rPr>
    <w:tblPr>
      <w:tblStyleRowBandSize w:val="1"/>
      <w:tblStyleColBandSize w:val="1"/>
      <w:tblBorders>
        <w:top w:val="single" w:sz="8" w:space="0" w:color="FDA023" w:themeColor="accent1"/>
        <w:bottom w:val="single" w:sz="8" w:space="0" w:color="FDA023" w:themeColor="accent1"/>
      </w:tblBorders>
    </w:tblPr>
    <w:tblStylePr w:type="firstRow">
      <w:pPr>
        <w:spacing w:before="0" w:after="0" w:line="240" w:lineRule="auto"/>
      </w:pPr>
      <w:rPr>
        <w:b/>
        <w:bCs/>
      </w:rPr>
      <w:tblPr/>
      <w:tcPr>
        <w:tcBorders>
          <w:top w:val="single" w:sz="8" w:space="0" w:color="FDA023" w:themeColor="accent1"/>
          <w:left w:val="nil"/>
          <w:bottom w:val="single" w:sz="8" w:space="0" w:color="FDA023" w:themeColor="accent1"/>
          <w:right w:val="nil"/>
          <w:insideH w:val="nil"/>
          <w:insideV w:val="nil"/>
        </w:tcBorders>
      </w:tcPr>
    </w:tblStylePr>
    <w:tblStylePr w:type="lastRow">
      <w:pPr>
        <w:spacing w:before="0" w:after="0" w:line="240" w:lineRule="auto"/>
      </w:pPr>
      <w:rPr>
        <w:b/>
        <w:bCs/>
      </w:rPr>
      <w:tblPr/>
      <w:tcPr>
        <w:tcBorders>
          <w:top w:val="single" w:sz="8" w:space="0" w:color="FDA023" w:themeColor="accent1"/>
          <w:left w:val="nil"/>
          <w:bottom w:val="single" w:sz="8" w:space="0" w:color="FDA0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7C8" w:themeFill="accent1" w:themeFillTint="3F"/>
      </w:tcPr>
    </w:tblStylePr>
    <w:tblStylePr w:type="band1Horz">
      <w:tblPr/>
      <w:tcPr>
        <w:tcBorders>
          <w:left w:val="nil"/>
          <w:right w:val="nil"/>
          <w:insideH w:val="nil"/>
          <w:insideV w:val="nil"/>
        </w:tcBorders>
        <w:shd w:val="clear" w:color="auto" w:fill="FEE7C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FDA023" w:themeFill="accent1"/>
      </w:tcPr>
    </w:tblStylePr>
    <w:tblStylePr w:type="lastRow">
      <w:pPr>
        <w:spacing w:before="0" w:after="0" w:line="240" w:lineRule="auto"/>
      </w:pPr>
      <w:rPr>
        <w:b/>
        <w:bCs/>
      </w:rPr>
      <w:tblPr/>
      <w:tcPr>
        <w:tcBorders>
          <w:top w:val="double" w:sz="6" w:space="0" w:color="FDA023" w:themeColor="accent1"/>
          <w:left w:val="single" w:sz="8" w:space="0" w:color="FDA023" w:themeColor="accent1"/>
          <w:bottom w:val="single" w:sz="8" w:space="0" w:color="FDA023" w:themeColor="accent1"/>
          <w:right w:val="single" w:sz="8" w:space="0" w:color="FDA023" w:themeColor="accent1"/>
        </w:tcBorders>
      </w:tcPr>
    </w:tblStylePr>
    <w:tblStylePr w:type="firstCol">
      <w:rPr>
        <w:b/>
        <w:bCs/>
      </w:rPr>
    </w:tblStylePr>
    <w:tblStylePr w:type="lastCol">
      <w:rPr>
        <w:b/>
        <w:bCs/>
      </w:rPr>
    </w:tblStylePr>
    <w:tblStylePr w:type="band1Vert">
      <w:tblPr/>
      <w:tcPr>
        <w:tcBorders>
          <w:top w:val="single" w:sz="8" w:space="0" w:color="FDA023" w:themeColor="accent1"/>
          <w:left w:val="single" w:sz="8" w:space="0" w:color="FDA023" w:themeColor="accent1"/>
          <w:bottom w:val="single" w:sz="8" w:space="0" w:color="FDA023" w:themeColor="accent1"/>
          <w:right w:val="single" w:sz="8" w:space="0" w:color="FDA023" w:themeColor="accent1"/>
        </w:tcBorders>
      </w:tcPr>
    </w:tblStylePr>
    <w:tblStylePr w:type="band1Horz">
      <w:tblPr/>
      <w:tcPr>
        <w:tcBorders>
          <w:top w:val="single" w:sz="8" w:space="0" w:color="FDA023" w:themeColor="accent1"/>
          <w:left w:val="single" w:sz="8" w:space="0" w:color="FDA023" w:themeColor="accent1"/>
          <w:bottom w:val="single" w:sz="8" w:space="0" w:color="FDA023" w:themeColor="accent1"/>
          <w:right w:val="single" w:sz="8" w:space="0" w:color="FDA023"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FDA023" w:themeColor="accent1"/>
        <w:left w:val="single" w:sz="8" w:space="0" w:color="FDA023" w:themeColor="accent1"/>
        <w:bottom w:val="single" w:sz="8" w:space="0" w:color="FDA023" w:themeColor="accent1"/>
        <w:right w:val="single" w:sz="8" w:space="0" w:color="FDA023" w:themeColor="accent1"/>
        <w:insideH w:val="single" w:sz="8" w:space="0" w:color="FDA023" w:themeColor="accent1"/>
        <w:insideV w:val="single" w:sz="8" w:space="0" w:color="FDA0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A023" w:themeColor="accent1"/>
          <w:left w:val="single" w:sz="8" w:space="0" w:color="FDA023" w:themeColor="accent1"/>
          <w:bottom w:val="single" w:sz="18" w:space="0" w:color="FDA023" w:themeColor="accent1"/>
          <w:right w:val="single" w:sz="8" w:space="0" w:color="FDA023" w:themeColor="accent1"/>
          <w:insideH w:val="nil"/>
          <w:insideV w:val="single" w:sz="8" w:space="0" w:color="FDA0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A023" w:themeColor="accent1"/>
          <w:left w:val="single" w:sz="8" w:space="0" w:color="FDA023" w:themeColor="accent1"/>
          <w:bottom w:val="single" w:sz="8" w:space="0" w:color="FDA023" w:themeColor="accent1"/>
          <w:right w:val="single" w:sz="8" w:space="0" w:color="FDA023" w:themeColor="accent1"/>
          <w:insideH w:val="nil"/>
          <w:insideV w:val="single" w:sz="8" w:space="0" w:color="FDA0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A023" w:themeColor="accent1"/>
          <w:left w:val="single" w:sz="8" w:space="0" w:color="FDA023" w:themeColor="accent1"/>
          <w:bottom w:val="single" w:sz="8" w:space="0" w:color="FDA023" w:themeColor="accent1"/>
          <w:right w:val="single" w:sz="8" w:space="0" w:color="FDA023" w:themeColor="accent1"/>
        </w:tcBorders>
      </w:tcPr>
    </w:tblStylePr>
    <w:tblStylePr w:type="band1Vert">
      <w:tblPr/>
      <w:tcPr>
        <w:tcBorders>
          <w:top w:val="single" w:sz="8" w:space="0" w:color="FDA023" w:themeColor="accent1"/>
          <w:left w:val="single" w:sz="8" w:space="0" w:color="FDA023" w:themeColor="accent1"/>
          <w:bottom w:val="single" w:sz="8" w:space="0" w:color="FDA023" w:themeColor="accent1"/>
          <w:right w:val="single" w:sz="8" w:space="0" w:color="FDA023" w:themeColor="accent1"/>
        </w:tcBorders>
        <w:shd w:val="clear" w:color="auto" w:fill="FEE7C8" w:themeFill="accent1" w:themeFillTint="3F"/>
      </w:tcPr>
    </w:tblStylePr>
    <w:tblStylePr w:type="band1Horz">
      <w:tblPr/>
      <w:tcPr>
        <w:tcBorders>
          <w:top w:val="single" w:sz="8" w:space="0" w:color="FDA023" w:themeColor="accent1"/>
          <w:left w:val="single" w:sz="8" w:space="0" w:color="FDA023" w:themeColor="accent1"/>
          <w:bottom w:val="single" w:sz="8" w:space="0" w:color="FDA023" w:themeColor="accent1"/>
          <w:right w:val="single" w:sz="8" w:space="0" w:color="FDA023" w:themeColor="accent1"/>
          <w:insideV w:val="single" w:sz="8" w:space="0" w:color="FDA023" w:themeColor="accent1"/>
        </w:tcBorders>
        <w:shd w:val="clear" w:color="auto" w:fill="FEE7C8" w:themeFill="accent1" w:themeFillTint="3F"/>
      </w:tcPr>
    </w:tblStylePr>
    <w:tblStylePr w:type="band2Horz">
      <w:tblPr/>
      <w:tcPr>
        <w:tcBorders>
          <w:top w:val="single" w:sz="8" w:space="0" w:color="FDA023" w:themeColor="accent1"/>
          <w:left w:val="single" w:sz="8" w:space="0" w:color="FDA023" w:themeColor="accent1"/>
          <w:bottom w:val="single" w:sz="8" w:space="0" w:color="FDA023" w:themeColor="accent1"/>
          <w:right w:val="single" w:sz="8" w:space="0" w:color="FDA023" w:themeColor="accent1"/>
          <w:insideV w:val="single" w:sz="8" w:space="0" w:color="FDA023"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FDA023" w:themeColor="accent1"/>
          <w:left w:val="single" w:sz="8" w:space="0" w:color="FDA023" w:themeColor="accent1"/>
          <w:bottom w:val="single" w:sz="18" w:space="0" w:color="FDA023" w:themeColor="accent1"/>
          <w:right w:val="single" w:sz="8" w:space="0" w:color="FDA023" w:themeColor="accent1"/>
          <w:insideH w:val="nil"/>
          <w:insideV w:val="single" w:sz="8" w:space="0" w:color="FDA0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A023" w:themeColor="accent1"/>
          <w:left w:val="single" w:sz="8" w:space="0" w:color="FDA023" w:themeColor="accent1"/>
          <w:bottom w:val="single" w:sz="8" w:space="0" w:color="FDA023" w:themeColor="accent1"/>
          <w:right w:val="single" w:sz="8" w:space="0" w:color="FDA023" w:themeColor="accent1"/>
          <w:insideH w:val="nil"/>
          <w:insideV w:val="single" w:sz="8" w:space="0" w:color="FDA0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A023" w:themeColor="accent1"/>
          <w:left w:val="single" w:sz="8" w:space="0" w:color="FDA023" w:themeColor="accent1"/>
          <w:bottom w:val="single" w:sz="8" w:space="0" w:color="FDA023" w:themeColor="accent1"/>
          <w:right w:val="single" w:sz="8" w:space="0" w:color="FDA023" w:themeColor="accent1"/>
        </w:tcBorders>
      </w:tcPr>
    </w:tblStylePr>
    <w:tblStylePr w:type="band1Vert">
      <w:tblPr/>
      <w:tcPr>
        <w:tcBorders>
          <w:top w:val="single" w:sz="8" w:space="0" w:color="FDA023" w:themeColor="accent1"/>
          <w:left w:val="single" w:sz="8" w:space="0" w:color="FDA023" w:themeColor="accent1"/>
          <w:bottom w:val="single" w:sz="8" w:space="0" w:color="FDA023" w:themeColor="accent1"/>
          <w:right w:val="single" w:sz="8" w:space="0" w:color="FDA023" w:themeColor="accent1"/>
        </w:tcBorders>
        <w:shd w:val="clear" w:color="auto" w:fill="FEE7C8" w:themeFill="accent1" w:themeFillTint="3F"/>
      </w:tcPr>
    </w:tblStylePr>
    <w:tblStylePr w:type="band1Horz">
      <w:tblPr/>
      <w:tcPr>
        <w:tcBorders>
          <w:top w:val="single" w:sz="8" w:space="0" w:color="FDA023" w:themeColor="accent1"/>
          <w:left w:val="single" w:sz="8" w:space="0" w:color="FDA023" w:themeColor="accent1"/>
          <w:bottom w:val="single" w:sz="8" w:space="0" w:color="FDA023" w:themeColor="accent1"/>
          <w:right w:val="single" w:sz="8" w:space="0" w:color="FDA023" w:themeColor="accent1"/>
          <w:insideV w:val="single" w:sz="8" w:space="0" w:color="FDA023" w:themeColor="accent1"/>
        </w:tcBorders>
        <w:shd w:val="clear" w:color="auto" w:fill="AA2B1E" w:themeFill="accent2"/>
      </w:tcPr>
    </w:tblStylePr>
    <w:tblStylePr w:type="band2Horz">
      <w:tblPr/>
      <w:tcPr>
        <w:tcBorders>
          <w:top w:val="single" w:sz="8" w:space="0" w:color="FDA023" w:themeColor="accent1"/>
          <w:left w:val="single" w:sz="8" w:space="0" w:color="FDA023" w:themeColor="accent1"/>
          <w:bottom w:val="single" w:sz="8" w:space="0" w:color="FDA023" w:themeColor="accent1"/>
          <w:right w:val="single" w:sz="8" w:space="0" w:color="FDA023" w:themeColor="accent1"/>
          <w:insideV w:val="single" w:sz="8" w:space="0" w:color="FDA023"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FDB75A" w:themeColor="accent1" w:themeTint="BF"/>
        <w:left w:val="single" w:sz="8" w:space="0" w:color="FDB75A" w:themeColor="accent1" w:themeTint="BF"/>
        <w:bottom w:val="single" w:sz="8" w:space="0" w:color="FDB75A" w:themeColor="accent1" w:themeTint="BF"/>
        <w:right w:val="single" w:sz="8" w:space="0" w:color="FDB75A" w:themeColor="accent1" w:themeTint="BF"/>
        <w:insideH w:val="single" w:sz="8" w:space="0" w:color="FDB75A" w:themeColor="accent1" w:themeTint="BF"/>
      </w:tblBorders>
    </w:tblPr>
    <w:tblStylePr w:type="firstRow">
      <w:pPr>
        <w:spacing w:before="0" w:after="0" w:line="240" w:lineRule="auto"/>
      </w:pPr>
      <w:rPr>
        <w:b/>
        <w:bCs/>
        <w:color w:val="FFFFFF" w:themeColor="background1"/>
      </w:rPr>
      <w:tblPr/>
      <w:tcPr>
        <w:tcBorders>
          <w:top w:val="single" w:sz="8" w:space="0" w:color="FDB75A" w:themeColor="accent1" w:themeTint="BF"/>
          <w:left w:val="single" w:sz="8" w:space="0" w:color="FDB75A" w:themeColor="accent1" w:themeTint="BF"/>
          <w:bottom w:val="single" w:sz="8" w:space="0" w:color="FDB75A" w:themeColor="accent1" w:themeTint="BF"/>
          <w:right w:val="single" w:sz="8" w:space="0" w:color="FDB75A" w:themeColor="accent1" w:themeTint="BF"/>
          <w:insideH w:val="nil"/>
          <w:insideV w:val="nil"/>
        </w:tcBorders>
        <w:shd w:val="clear" w:color="auto" w:fill="FDA023" w:themeFill="accent1"/>
      </w:tcPr>
    </w:tblStylePr>
    <w:tblStylePr w:type="lastRow">
      <w:pPr>
        <w:spacing w:before="0" w:after="0" w:line="240" w:lineRule="auto"/>
      </w:pPr>
      <w:rPr>
        <w:b/>
        <w:bCs/>
      </w:rPr>
      <w:tblPr/>
      <w:tcPr>
        <w:tcBorders>
          <w:top w:val="double" w:sz="6" w:space="0" w:color="FDB75A" w:themeColor="accent1" w:themeTint="BF"/>
          <w:left w:val="single" w:sz="8" w:space="0" w:color="FDB75A" w:themeColor="accent1" w:themeTint="BF"/>
          <w:bottom w:val="single" w:sz="8" w:space="0" w:color="FDB75A" w:themeColor="accent1" w:themeTint="BF"/>
          <w:right w:val="single" w:sz="8" w:space="0" w:color="FDB7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7C8" w:themeFill="accent1" w:themeFillTint="3F"/>
      </w:tcPr>
    </w:tblStylePr>
    <w:tblStylePr w:type="band1Horz">
      <w:tblPr/>
      <w:tcPr>
        <w:tcBorders>
          <w:insideH w:val="nil"/>
          <w:insideV w:val="nil"/>
        </w:tcBorders>
        <w:shd w:val="clear" w:color="auto" w:fill="FEE7C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FDB75A" w:themeColor="accent1" w:themeTint="BF"/>
          <w:left w:val="single" w:sz="8" w:space="0" w:color="FDB75A" w:themeColor="accent1" w:themeTint="BF"/>
          <w:bottom w:val="single" w:sz="8" w:space="0" w:color="FDB75A" w:themeColor="accent1" w:themeTint="BF"/>
          <w:right w:val="single" w:sz="8" w:space="0" w:color="FDB75A" w:themeColor="accent1" w:themeTint="BF"/>
          <w:insideH w:val="nil"/>
          <w:insideV w:val="nil"/>
        </w:tcBorders>
        <w:shd w:val="clear" w:color="auto" w:fill="FDA023" w:themeFill="accent1"/>
      </w:tcPr>
    </w:tblStylePr>
    <w:tblStylePr w:type="lastRow">
      <w:pPr>
        <w:spacing w:before="0" w:after="0" w:line="240" w:lineRule="auto"/>
      </w:pPr>
      <w:rPr>
        <w:b/>
        <w:bCs/>
      </w:rPr>
      <w:tblPr/>
      <w:tcPr>
        <w:tcBorders>
          <w:top w:val="double" w:sz="6" w:space="0" w:color="FDB75A" w:themeColor="accent1" w:themeTint="BF"/>
          <w:left w:val="single" w:sz="8" w:space="0" w:color="FDB75A" w:themeColor="accent1" w:themeTint="BF"/>
          <w:bottom w:val="single" w:sz="8" w:space="0" w:color="FDB75A" w:themeColor="accent1" w:themeTint="BF"/>
          <w:right w:val="single" w:sz="8" w:space="0" w:color="FDB7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7C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AA2B1E"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FDA023" w:themeColor="accent1"/>
        <w:bottom w:val="single" w:sz="8" w:space="0" w:color="FDA023" w:themeColor="accent1"/>
      </w:tblBorders>
    </w:tblPr>
    <w:tblStylePr w:type="firstRow">
      <w:rPr>
        <w:rFonts w:asciiTheme="majorHAnsi" w:eastAsiaTheme="majorEastAsia" w:hAnsiTheme="majorHAnsi" w:cstheme="majorBidi"/>
      </w:rPr>
      <w:tblPr/>
      <w:tcPr>
        <w:tcBorders>
          <w:top w:val="nil"/>
          <w:bottom w:val="single" w:sz="8" w:space="0" w:color="FDA023" w:themeColor="accent1"/>
        </w:tcBorders>
      </w:tcPr>
    </w:tblStylePr>
    <w:tblStylePr w:type="lastRow">
      <w:rPr>
        <w:b/>
        <w:bCs/>
        <w:color w:val="465E9C" w:themeColor="text2"/>
      </w:rPr>
      <w:tblPr/>
      <w:tcPr>
        <w:tcBorders>
          <w:top w:val="single" w:sz="8" w:space="0" w:color="FDA023" w:themeColor="accent1"/>
          <w:bottom w:val="single" w:sz="8" w:space="0" w:color="FDA023" w:themeColor="accent1"/>
        </w:tcBorders>
      </w:tcPr>
    </w:tblStylePr>
    <w:tblStylePr w:type="firstCol">
      <w:rPr>
        <w:b/>
        <w:bCs/>
      </w:rPr>
    </w:tblStylePr>
    <w:tblStylePr w:type="lastCol">
      <w:rPr>
        <w:b/>
        <w:bCs/>
      </w:rPr>
      <w:tblPr/>
      <w:tcPr>
        <w:tcBorders>
          <w:top w:val="single" w:sz="8" w:space="0" w:color="FDA023" w:themeColor="accent1"/>
          <w:bottom w:val="single" w:sz="8" w:space="0" w:color="FDA023" w:themeColor="accent1"/>
        </w:tcBorders>
      </w:tcPr>
    </w:tblStylePr>
    <w:tblStylePr w:type="band1Vert">
      <w:tblPr/>
      <w:tcPr>
        <w:shd w:val="clear" w:color="auto" w:fill="FEE7C8" w:themeFill="accent1" w:themeFillTint="3F"/>
      </w:tcPr>
    </w:tblStylePr>
    <w:tblStylePr w:type="band1Horz">
      <w:tblPr/>
      <w:tcPr>
        <w:shd w:val="clear" w:color="auto" w:fill="FEE7C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FDA023" w:themeColor="accent1"/>
        </w:tcBorders>
      </w:tcPr>
    </w:tblStylePr>
    <w:tblStylePr w:type="lastRow">
      <w:rPr>
        <w:b/>
        <w:bCs/>
        <w:color w:val="465E9C" w:themeColor="text2"/>
      </w:rPr>
      <w:tblPr/>
      <w:tcPr>
        <w:tcBorders>
          <w:top w:val="single" w:sz="8" w:space="0" w:color="FDA023" w:themeColor="accent1"/>
          <w:bottom w:val="single" w:sz="8" w:space="0" w:color="FDA023" w:themeColor="accent1"/>
        </w:tcBorders>
      </w:tcPr>
    </w:tblStylePr>
    <w:tblStylePr w:type="firstCol">
      <w:rPr>
        <w:b/>
        <w:bCs/>
      </w:rPr>
    </w:tblStylePr>
    <w:tblStylePr w:type="lastCol">
      <w:rPr>
        <w:b/>
        <w:bCs/>
      </w:rPr>
      <w:tblPr/>
      <w:tcPr>
        <w:tcBorders>
          <w:top w:val="single" w:sz="8" w:space="0" w:color="FDA023" w:themeColor="accent1"/>
          <w:bottom w:val="single" w:sz="8" w:space="0" w:color="FDA023" w:themeColor="accent1"/>
        </w:tcBorders>
      </w:tcPr>
    </w:tblStylePr>
    <w:tblStylePr w:type="band1Vert">
      <w:tblPr/>
      <w:tcPr>
        <w:shd w:val="clear" w:color="auto" w:fill="FEE7C8" w:themeFill="accent1" w:themeFillTint="3F"/>
      </w:tcPr>
    </w:tblStylePr>
    <w:tblStylePr w:type="band1Horz">
      <w:tblPr/>
      <w:tcPr>
        <w:shd w:val="clear" w:color="auto" w:fill="AA2B1E"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FDA023" w:themeColor="accent1"/>
          <w:right w:val="nil"/>
          <w:insideH w:val="nil"/>
          <w:insideV w:val="nil"/>
        </w:tcBorders>
        <w:shd w:val="clear" w:color="auto" w:fill="FFFFFF" w:themeFill="background1"/>
      </w:tcPr>
    </w:tblStylePr>
    <w:tblStylePr w:type="lastRow">
      <w:tblPr/>
      <w:tcPr>
        <w:tcBorders>
          <w:top w:val="single" w:sz="8" w:space="0" w:color="FDA02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A023" w:themeColor="accent1"/>
          <w:insideH w:val="nil"/>
          <w:insideV w:val="nil"/>
        </w:tcBorders>
        <w:shd w:val="clear" w:color="auto" w:fill="FFFFFF" w:themeFill="background1"/>
      </w:tcPr>
    </w:tblStylePr>
    <w:tblStylePr w:type="lastCol">
      <w:tblPr/>
      <w:tcPr>
        <w:tcBorders>
          <w:top w:val="nil"/>
          <w:left w:val="single" w:sz="8" w:space="0" w:color="FDA02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7C8" w:themeFill="accent1" w:themeFillTint="3F"/>
      </w:tcPr>
    </w:tblStylePr>
    <w:tblStylePr w:type="band1Horz">
      <w:tblPr/>
      <w:tcPr>
        <w:tcBorders>
          <w:top w:val="nil"/>
          <w:bottom w:val="nil"/>
          <w:insideH w:val="nil"/>
          <w:insideV w:val="nil"/>
        </w:tcBorders>
        <w:shd w:val="clear" w:color="auto" w:fill="AA2B1E"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A023" w:themeColor="accent1"/>
        <w:left w:val="single" w:sz="8" w:space="0" w:color="FDA023" w:themeColor="accent1"/>
        <w:bottom w:val="single" w:sz="8" w:space="0" w:color="FDA023" w:themeColor="accent1"/>
        <w:right w:val="single" w:sz="8" w:space="0" w:color="FDA023" w:themeColor="accent1"/>
      </w:tblBorders>
    </w:tblPr>
    <w:tblStylePr w:type="firstRow">
      <w:rPr>
        <w:sz w:val="24"/>
        <w:szCs w:val="24"/>
      </w:rPr>
      <w:tblPr/>
      <w:tcPr>
        <w:tcBorders>
          <w:top w:val="nil"/>
          <w:left w:val="nil"/>
          <w:bottom w:val="single" w:sz="24" w:space="0" w:color="FDA023" w:themeColor="accent1"/>
          <w:right w:val="nil"/>
          <w:insideH w:val="nil"/>
          <w:insideV w:val="nil"/>
        </w:tcBorders>
        <w:shd w:val="clear" w:color="auto" w:fill="FFFFFF" w:themeFill="background1"/>
      </w:tcPr>
    </w:tblStylePr>
    <w:tblStylePr w:type="lastRow">
      <w:tblPr/>
      <w:tcPr>
        <w:tcBorders>
          <w:top w:val="single" w:sz="8" w:space="0" w:color="FDA02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A023" w:themeColor="accent1"/>
          <w:insideH w:val="nil"/>
          <w:insideV w:val="nil"/>
        </w:tcBorders>
        <w:shd w:val="clear" w:color="auto" w:fill="FFFFFF" w:themeFill="background1"/>
      </w:tcPr>
    </w:tblStylePr>
    <w:tblStylePr w:type="lastCol">
      <w:tblPr/>
      <w:tcPr>
        <w:tcBorders>
          <w:top w:val="nil"/>
          <w:left w:val="single" w:sz="8" w:space="0" w:color="FDA02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7C8" w:themeFill="accent1" w:themeFillTint="3F"/>
      </w:tcPr>
    </w:tblStylePr>
    <w:tblStylePr w:type="band1Horz">
      <w:tblPr/>
      <w:tcPr>
        <w:tcBorders>
          <w:top w:val="nil"/>
          <w:bottom w:val="nil"/>
          <w:insideH w:val="nil"/>
          <w:insideV w:val="nil"/>
        </w:tcBorders>
        <w:shd w:val="clear" w:color="auto" w:fill="FEE7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6F36F0"/>
    <w:pPr>
      <w:spacing w:before="100" w:beforeAutospacing="1" w:after="100" w:afterAutospacing="1"/>
    </w:pPr>
    <w:rPr>
      <w:rFonts w:ascii="Times New Roman" w:eastAsiaTheme="minorEastAsia" w:hAnsi="Times New Roman" w:cs="Times New Roman"/>
      <w:szCs w:val="24"/>
      <w:lang w:eastAsia="en-AU"/>
    </w:rPr>
  </w:style>
  <w:style w:type="paragraph" w:styleId="Header">
    <w:name w:val="header"/>
    <w:basedOn w:val="Normal"/>
    <w:link w:val="HeaderChar"/>
    <w:uiPriority w:val="99"/>
    <w:semiHidden/>
    <w:rsid w:val="00F16266"/>
    <w:pPr>
      <w:tabs>
        <w:tab w:val="center" w:pos="4513"/>
        <w:tab w:val="right" w:pos="9026"/>
      </w:tabs>
      <w:spacing w:after="0"/>
    </w:pPr>
  </w:style>
  <w:style w:type="character" w:customStyle="1" w:styleId="HeaderChar">
    <w:name w:val="Header Char"/>
    <w:basedOn w:val="DefaultParagraphFont"/>
    <w:link w:val="Header"/>
    <w:uiPriority w:val="99"/>
    <w:semiHidden/>
    <w:rsid w:val="00F16266"/>
    <w:rPr>
      <w:rFonts w:ascii="Arial" w:hAnsi="Arial"/>
      <w:sz w:val="24"/>
    </w:rPr>
  </w:style>
  <w:style w:type="paragraph" w:styleId="Footer">
    <w:name w:val="footer"/>
    <w:basedOn w:val="Normal"/>
    <w:link w:val="FooterChar"/>
    <w:uiPriority w:val="99"/>
    <w:semiHidden/>
    <w:rsid w:val="00F16266"/>
    <w:pPr>
      <w:tabs>
        <w:tab w:val="center" w:pos="4513"/>
        <w:tab w:val="right" w:pos="9026"/>
      </w:tabs>
      <w:spacing w:after="0"/>
    </w:pPr>
  </w:style>
  <w:style w:type="character" w:customStyle="1" w:styleId="FooterChar">
    <w:name w:val="Footer Char"/>
    <w:basedOn w:val="DefaultParagraphFont"/>
    <w:link w:val="Footer"/>
    <w:uiPriority w:val="99"/>
    <w:semiHidden/>
    <w:rsid w:val="00F16266"/>
    <w:rPr>
      <w:rFonts w:ascii="Arial" w:hAnsi="Arial"/>
      <w:sz w:val="24"/>
    </w:rPr>
  </w:style>
  <w:style w:type="character" w:styleId="CommentReference">
    <w:name w:val="annotation reference"/>
    <w:basedOn w:val="DefaultParagraphFont"/>
    <w:uiPriority w:val="99"/>
    <w:semiHidden/>
    <w:rsid w:val="00F16266"/>
    <w:rPr>
      <w:sz w:val="16"/>
      <w:szCs w:val="16"/>
    </w:rPr>
  </w:style>
  <w:style w:type="paragraph" w:styleId="CommentText">
    <w:name w:val="annotation text"/>
    <w:basedOn w:val="Normal"/>
    <w:link w:val="CommentTextChar"/>
    <w:uiPriority w:val="99"/>
    <w:semiHidden/>
    <w:rsid w:val="00F16266"/>
    <w:rPr>
      <w:sz w:val="20"/>
      <w:szCs w:val="20"/>
    </w:rPr>
  </w:style>
  <w:style w:type="character" w:customStyle="1" w:styleId="CommentTextChar">
    <w:name w:val="Comment Text Char"/>
    <w:basedOn w:val="DefaultParagraphFont"/>
    <w:link w:val="CommentText"/>
    <w:uiPriority w:val="99"/>
    <w:semiHidden/>
    <w:rsid w:val="00F16266"/>
    <w:rPr>
      <w:rFonts w:ascii="Arial" w:hAnsi="Arial"/>
      <w:sz w:val="20"/>
      <w:szCs w:val="20"/>
    </w:rPr>
  </w:style>
  <w:style w:type="paragraph" w:styleId="CommentSubject">
    <w:name w:val="annotation subject"/>
    <w:basedOn w:val="CommentText"/>
    <w:next w:val="CommentText"/>
    <w:link w:val="CommentSubjectChar"/>
    <w:uiPriority w:val="99"/>
    <w:semiHidden/>
    <w:rsid w:val="00F16266"/>
    <w:rPr>
      <w:b/>
      <w:bCs/>
    </w:rPr>
  </w:style>
  <w:style w:type="character" w:customStyle="1" w:styleId="CommentSubjectChar">
    <w:name w:val="Comment Subject Char"/>
    <w:basedOn w:val="CommentTextChar"/>
    <w:link w:val="CommentSubject"/>
    <w:uiPriority w:val="99"/>
    <w:semiHidden/>
    <w:rsid w:val="00F16266"/>
    <w:rPr>
      <w:rFonts w:ascii="Arial" w:hAnsi="Arial"/>
      <w:b/>
      <w:bCs/>
      <w:sz w:val="20"/>
      <w:szCs w:val="20"/>
    </w:rPr>
  </w:style>
  <w:style w:type="paragraph" w:styleId="Caption">
    <w:name w:val="caption"/>
    <w:basedOn w:val="Normal"/>
    <w:next w:val="Normal"/>
    <w:qFormat/>
    <w:rsid w:val="005D47ED"/>
    <w:pPr>
      <w:spacing w:after="0" w:line="360" w:lineRule="auto"/>
    </w:pPr>
    <w:rPr>
      <w:rFonts w:eastAsia="Cambria" w:cs="Times New Roman"/>
      <w:b/>
      <w:szCs w:val="20"/>
    </w:rPr>
  </w:style>
  <w:style w:type="character" w:styleId="FollowedHyperlink">
    <w:name w:val="FollowedHyperlink"/>
    <w:basedOn w:val="DefaultParagraphFont"/>
    <w:uiPriority w:val="99"/>
    <w:semiHidden/>
    <w:rsid w:val="00087462"/>
    <w:rPr>
      <w:color w:val="ED7D2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33269">
      <w:bodyDiv w:val="1"/>
      <w:marLeft w:val="0"/>
      <w:marRight w:val="0"/>
      <w:marTop w:val="0"/>
      <w:marBottom w:val="0"/>
      <w:divBdr>
        <w:top w:val="none" w:sz="0" w:space="0" w:color="auto"/>
        <w:left w:val="none" w:sz="0" w:space="0" w:color="auto"/>
        <w:bottom w:val="none" w:sz="0" w:space="0" w:color="auto"/>
        <w:right w:val="none" w:sz="0" w:space="0" w:color="auto"/>
      </w:divBdr>
    </w:div>
    <w:div w:id="595359388">
      <w:bodyDiv w:val="1"/>
      <w:marLeft w:val="0"/>
      <w:marRight w:val="0"/>
      <w:marTop w:val="0"/>
      <w:marBottom w:val="0"/>
      <w:divBdr>
        <w:top w:val="none" w:sz="0" w:space="0" w:color="auto"/>
        <w:left w:val="none" w:sz="0" w:space="0" w:color="auto"/>
        <w:bottom w:val="none" w:sz="0" w:space="0" w:color="auto"/>
        <w:right w:val="none" w:sz="0" w:space="0" w:color="auto"/>
      </w:divBdr>
    </w:div>
    <w:div w:id="1267813408">
      <w:bodyDiv w:val="1"/>
      <w:marLeft w:val="0"/>
      <w:marRight w:val="0"/>
      <w:marTop w:val="0"/>
      <w:marBottom w:val="0"/>
      <w:divBdr>
        <w:top w:val="none" w:sz="0" w:space="0" w:color="auto"/>
        <w:left w:val="none" w:sz="0" w:space="0" w:color="auto"/>
        <w:bottom w:val="none" w:sz="0" w:space="0" w:color="auto"/>
        <w:right w:val="none" w:sz="0" w:space="0" w:color="auto"/>
      </w:divBdr>
    </w:div>
    <w:div w:id="1685665995">
      <w:bodyDiv w:val="1"/>
      <w:marLeft w:val="0"/>
      <w:marRight w:val="0"/>
      <w:marTop w:val="0"/>
      <w:marBottom w:val="0"/>
      <w:divBdr>
        <w:top w:val="none" w:sz="0" w:space="0" w:color="auto"/>
        <w:left w:val="none" w:sz="0" w:space="0" w:color="auto"/>
        <w:bottom w:val="none" w:sz="0" w:space="0" w:color="auto"/>
        <w:right w:val="none" w:sz="0" w:space="0" w:color="auto"/>
      </w:divBdr>
    </w:div>
    <w:div w:id="1797143417">
      <w:bodyDiv w:val="1"/>
      <w:marLeft w:val="0"/>
      <w:marRight w:val="0"/>
      <w:marTop w:val="0"/>
      <w:marBottom w:val="0"/>
      <w:divBdr>
        <w:top w:val="none" w:sz="0" w:space="0" w:color="auto"/>
        <w:left w:val="none" w:sz="0" w:space="0" w:color="auto"/>
        <w:bottom w:val="none" w:sz="0" w:space="0" w:color="auto"/>
        <w:right w:val="none" w:sz="0" w:space="0" w:color="auto"/>
      </w:divBdr>
    </w:div>
    <w:div w:id="1802728871">
      <w:bodyDiv w:val="1"/>
      <w:marLeft w:val="0"/>
      <w:marRight w:val="0"/>
      <w:marTop w:val="0"/>
      <w:marBottom w:val="0"/>
      <w:divBdr>
        <w:top w:val="none" w:sz="0" w:space="0" w:color="auto"/>
        <w:left w:val="none" w:sz="0" w:space="0" w:color="auto"/>
        <w:bottom w:val="none" w:sz="0" w:space="0" w:color="auto"/>
        <w:right w:val="none" w:sz="0" w:space="0" w:color="auto"/>
      </w:divBdr>
    </w:div>
    <w:div w:id="1886329185">
      <w:bodyDiv w:val="1"/>
      <w:marLeft w:val="0"/>
      <w:marRight w:val="0"/>
      <w:marTop w:val="0"/>
      <w:marBottom w:val="0"/>
      <w:divBdr>
        <w:top w:val="none" w:sz="0" w:space="0" w:color="auto"/>
        <w:left w:val="none" w:sz="0" w:space="0" w:color="auto"/>
        <w:bottom w:val="none" w:sz="0" w:space="0" w:color="auto"/>
        <w:right w:val="none" w:sz="0" w:space="0" w:color="auto"/>
      </w:divBdr>
    </w:div>
    <w:div w:id="1911577656">
      <w:bodyDiv w:val="1"/>
      <w:marLeft w:val="0"/>
      <w:marRight w:val="0"/>
      <w:marTop w:val="0"/>
      <w:marBottom w:val="0"/>
      <w:divBdr>
        <w:top w:val="none" w:sz="0" w:space="0" w:color="auto"/>
        <w:left w:val="none" w:sz="0" w:space="0" w:color="auto"/>
        <w:bottom w:val="none" w:sz="0" w:space="0" w:color="auto"/>
        <w:right w:val="none" w:sz="0" w:space="0" w:color="auto"/>
      </w:divBdr>
    </w:div>
    <w:div w:id="19978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2.health.wa.gov.au/~/media/Files/Corporate/general%20documents/Infectious%20diseases/Word/OzFoodNet/WA-OzFoodnet-appendix2-2019-Q1.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2.health.wa.gov.au/~/media/Files/Corporate/general%20documents/Infectious%20diseases/Word/OzFoodNet/WA-OzFoodnet-appendix1-2019-Q1.doc" TargetMode="External"/><Relationship Id="rId17" Type="http://schemas.openxmlformats.org/officeDocument/2006/relationships/hyperlink" Target="https://ww2.health.wa.gov.au/~/media/Files/Corporate/general%20documents/Infectious%20diseases/Word/OzFoodNet/WA-OzFoodnet-appendix2-2019-Q1.doc"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media/Files/Corporate/general%20documents/Infectious%20diseases/Word/OzFoodNet/WA-OzFoodnet-appendix1-2019-Q1.doc"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1"/>
          <c:order val="0"/>
          <c:tx>
            <c:strRef>
              <c:f>'Fig3'!$C$2</c:f>
              <c:strCache>
                <c:ptCount val="1"/>
                <c:pt idx="0">
                  <c:v>Community cases</c:v>
                </c:pt>
              </c:strCache>
            </c:strRef>
          </c:tx>
          <c:invertIfNegative val="0"/>
          <c:cat>
            <c:multiLvlStrRef>
              <c:f>'Fig3'!$A$23:$B$53</c:f>
              <c:multiLvlStrCache>
                <c:ptCount val="31"/>
                <c:lvl>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pt idx="16">
                    <c:v>Jan</c:v>
                  </c:pt>
                  <c:pt idx="17">
                    <c:v>Feb</c:v>
                  </c:pt>
                  <c:pt idx="18">
                    <c:v>Mar</c:v>
                  </c:pt>
                  <c:pt idx="19">
                    <c:v>Apr</c:v>
                  </c:pt>
                  <c:pt idx="20">
                    <c:v>May</c:v>
                  </c:pt>
                  <c:pt idx="21">
                    <c:v>Jun</c:v>
                  </c:pt>
                  <c:pt idx="22">
                    <c:v>Jul</c:v>
                  </c:pt>
                  <c:pt idx="23">
                    <c:v>Aug</c:v>
                  </c:pt>
                  <c:pt idx="24">
                    <c:v>Sep</c:v>
                  </c:pt>
                  <c:pt idx="25">
                    <c:v>Oct</c:v>
                  </c:pt>
                  <c:pt idx="26">
                    <c:v>Nov</c:v>
                  </c:pt>
                  <c:pt idx="27">
                    <c:v>Dec</c:v>
                  </c:pt>
                  <c:pt idx="28">
                    <c:v>Jan</c:v>
                  </c:pt>
                  <c:pt idx="29">
                    <c:v>Feb</c:v>
                  </c:pt>
                  <c:pt idx="30">
                    <c:v>Mar</c:v>
                  </c:pt>
                </c:lvl>
                <c:lvl>
                  <c:pt idx="4">
                    <c:v>2017</c:v>
                  </c:pt>
                  <c:pt idx="16">
                    <c:v>2018</c:v>
                  </c:pt>
                  <c:pt idx="28">
                    <c:v>2019</c:v>
                  </c:pt>
                </c:lvl>
              </c:multiLvlStrCache>
            </c:multiLvlStrRef>
          </c:cat>
          <c:val>
            <c:numRef>
              <c:f>'Fig3'!$C$23:$C$53</c:f>
              <c:numCache>
                <c:formatCode>General</c:formatCode>
                <c:ptCount val="31"/>
                <c:pt idx="0">
                  <c:v>1</c:v>
                </c:pt>
                <c:pt idx="1">
                  <c:v>4</c:v>
                </c:pt>
                <c:pt idx="2">
                  <c:v>28</c:v>
                </c:pt>
                <c:pt idx="3">
                  <c:v>38</c:v>
                </c:pt>
                <c:pt idx="4">
                  <c:v>69</c:v>
                </c:pt>
                <c:pt idx="5">
                  <c:v>65</c:v>
                </c:pt>
                <c:pt idx="6">
                  <c:v>84</c:v>
                </c:pt>
                <c:pt idx="7">
                  <c:v>50</c:v>
                </c:pt>
                <c:pt idx="8">
                  <c:v>41</c:v>
                </c:pt>
                <c:pt idx="9">
                  <c:v>26</c:v>
                </c:pt>
                <c:pt idx="10">
                  <c:v>25</c:v>
                </c:pt>
                <c:pt idx="11">
                  <c:v>27</c:v>
                </c:pt>
                <c:pt idx="12">
                  <c:v>22</c:v>
                </c:pt>
                <c:pt idx="13">
                  <c:v>27</c:v>
                </c:pt>
                <c:pt idx="14">
                  <c:v>33</c:v>
                </c:pt>
                <c:pt idx="15">
                  <c:v>21</c:v>
                </c:pt>
                <c:pt idx="16">
                  <c:v>25</c:v>
                </c:pt>
                <c:pt idx="17">
                  <c:v>21</c:v>
                </c:pt>
                <c:pt idx="18">
                  <c:v>25</c:v>
                </c:pt>
                <c:pt idx="19">
                  <c:v>28</c:v>
                </c:pt>
                <c:pt idx="20">
                  <c:v>57</c:v>
                </c:pt>
                <c:pt idx="21">
                  <c:v>37</c:v>
                </c:pt>
                <c:pt idx="22">
                  <c:v>31</c:v>
                </c:pt>
                <c:pt idx="23">
                  <c:v>29</c:v>
                </c:pt>
                <c:pt idx="24">
                  <c:v>16</c:v>
                </c:pt>
                <c:pt idx="25">
                  <c:v>9</c:v>
                </c:pt>
                <c:pt idx="26">
                  <c:v>22</c:v>
                </c:pt>
                <c:pt idx="27">
                  <c:v>16</c:v>
                </c:pt>
                <c:pt idx="28">
                  <c:v>16</c:v>
                </c:pt>
                <c:pt idx="29">
                  <c:v>24</c:v>
                </c:pt>
                <c:pt idx="30">
                  <c:v>24</c:v>
                </c:pt>
              </c:numCache>
            </c:numRef>
          </c:val>
          <c:extLst>
            <c:ext xmlns:c16="http://schemas.microsoft.com/office/drawing/2014/chart" uri="{C3380CC4-5D6E-409C-BE32-E72D297353CC}">
              <c16:uniqueId val="{00000000-23BB-4FE3-B050-8150B63AE518}"/>
            </c:ext>
          </c:extLst>
        </c:ser>
        <c:ser>
          <c:idx val="2"/>
          <c:order val="1"/>
          <c:tx>
            <c:strRef>
              <c:f>'Fig3'!$D$2</c:f>
              <c:strCache>
                <c:ptCount val="1"/>
                <c:pt idx="0">
                  <c:v>Point-source outbreak cases</c:v>
                </c:pt>
              </c:strCache>
            </c:strRef>
          </c:tx>
          <c:invertIfNegative val="0"/>
          <c:cat>
            <c:multiLvlStrRef>
              <c:f>'Fig3'!$A$23:$B$53</c:f>
              <c:multiLvlStrCache>
                <c:ptCount val="31"/>
                <c:lvl>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pt idx="16">
                    <c:v>Jan</c:v>
                  </c:pt>
                  <c:pt idx="17">
                    <c:v>Feb</c:v>
                  </c:pt>
                  <c:pt idx="18">
                    <c:v>Mar</c:v>
                  </c:pt>
                  <c:pt idx="19">
                    <c:v>Apr</c:v>
                  </c:pt>
                  <c:pt idx="20">
                    <c:v>May</c:v>
                  </c:pt>
                  <c:pt idx="21">
                    <c:v>Jun</c:v>
                  </c:pt>
                  <c:pt idx="22">
                    <c:v>Jul</c:v>
                  </c:pt>
                  <c:pt idx="23">
                    <c:v>Aug</c:v>
                  </c:pt>
                  <c:pt idx="24">
                    <c:v>Sep</c:v>
                  </c:pt>
                  <c:pt idx="25">
                    <c:v>Oct</c:v>
                  </c:pt>
                  <c:pt idx="26">
                    <c:v>Nov</c:v>
                  </c:pt>
                  <c:pt idx="27">
                    <c:v>Dec</c:v>
                  </c:pt>
                  <c:pt idx="28">
                    <c:v>Jan</c:v>
                  </c:pt>
                  <c:pt idx="29">
                    <c:v>Feb</c:v>
                  </c:pt>
                  <c:pt idx="30">
                    <c:v>Mar</c:v>
                  </c:pt>
                </c:lvl>
                <c:lvl>
                  <c:pt idx="4">
                    <c:v>2017</c:v>
                  </c:pt>
                  <c:pt idx="16">
                    <c:v>2018</c:v>
                  </c:pt>
                  <c:pt idx="28">
                    <c:v>2019</c:v>
                  </c:pt>
                </c:lvl>
              </c:multiLvlStrCache>
            </c:multiLvlStrRef>
          </c:cat>
          <c:val>
            <c:numRef>
              <c:f>'Fig3'!$D$23:$D$53</c:f>
              <c:numCache>
                <c:formatCode>General</c:formatCode>
                <c:ptCount val="31"/>
                <c:pt idx="0">
                  <c:v>0</c:v>
                </c:pt>
                <c:pt idx="1">
                  <c:v>2</c:v>
                </c:pt>
                <c:pt idx="2">
                  <c:v>5</c:v>
                </c:pt>
                <c:pt idx="3">
                  <c:v>0</c:v>
                </c:pt>
                <c:pt idx="4">
                  <c:v>15</c:v>
                </c:pt>
                <c:pt idx="5">
                  <c:v>28</c:v>
                </c:pt>
                <c:pt idx="6">
                  <c:v>37</c:v>
                </c:pt>
                <c:pt idx="7">
                  <c:v>1</c:v>
                </c:pt>
                <c:pt idx="8">
                  <c:v>5</c:v>
                </c:pt>
                <c:pt idx="9">
                  <c:v>8</c:v>
                </c:pt>
                <c:pt idx="10">
                  <c:v>0</c:v>
                </c:pt>
                <c:pt idx="11">
                  <c:v>14</c:v>
                </c:pt>
                <c:pt idx="12">
                  <c:v>0</c:v>
                </c:pt>
                <c:pt idx="13">
                  <c:v>0</c:v>
                </c:pt>
                <c:pt idx="14">
                  <c:v>2</c:v>
                </c:pt>
                <c:pt idx="15">
                  <c:v>10</c:v>
                </c:pt>
                <c:pt idx="16">
                  <c:v>28</c:v>
                </c:pt>
                <c:pt idx="17">
                  <c:v>9</c:v>
                </c:pt>
                <c:pt idx="18">
                  <c:v>3</c:v>
                </c:pt>
                <c:pt idx="19">
                  <c:v>8</c:v>
                </c:pt>
                <c:pt idx="20">
                  <c:v>23</c:v>
                </c:pt>
                <c:pt idx="21">
                  <c:v>1</c:v>
                </c:pt>
                <c:pt idx="22">
                  <c:v>7</c:v>
                </c:pt>
                <c:pt idx="23">
                  <c:v>2</c:v>
                </c:pt>
                <c:pt idx="24">
                  <c:v>1</c:v>
                </c:pt>
                <c:pt idx="25">
                  <c:v>0</c:v>
                </c:pt>
                <c:pt idx="26">
                  <c:v>7</c:v>
                </c:pt>
                <c:pt idx="27">
                  <c:v>16</c:v>
                </c:pt>
                <c:pt idx="28">
                  <c:v>8</c:v>
                </c:pt>
                <c:pt idx="29">
                  <c:v>3</c:v>
                </c:pt>
                <c:pt idx="30">
                  <c:v>2</c:v>
                </c:pt>
              </c:numCache>
            </c:numRef>
          </c:val>
          <c:extLst>
            <c:ext xmlns:c16="http://schemas.microsoft.com/office/drawing/2014/chart" uri="{C3380CC4-5D6E-409C-BE32-E72D297353CC}">
              <c16:uniqueId val="{00000001-23BB-4FE3-B050-8150B63AE518}"/>
            </c:ext>
          </c:extLst>
        </c:ser>
        <c:dLbls>
          <c:showLegendKey val="0"/>
          <c:showVal val="0"/>
          <c:showCatName val="0"/>
          <c:showSerName val="0"/>
          <c:showPercent val="0"/>
          <c:showBubbleSize val="0"/>
        </c:dLbls>
        <c:gapWidth val="150"/>
        <c:overlap val="100"/>
        <c:axId val="60680832"/>
        <c:axId val="60826368"/>
      </c:barChart>
      <c:catAx>
        <c:axId val="60680832"/>
        <c:scaling>
          <c:orientation val="minMax"/>
        </c:scaling>
        <c:delete val="0"/>
        <c:axPos val="b"/>
        <c:title>
          <c:tx>
            <c:rich>
              <a:bodyPr/>
              <a:lstStyle/>
              <a:p>
                <a:pPr>
                  <a:defRPr/>
                </a:pPr>
                <a:r>
                  <a:rPr lang="en-US"/>
                  <a:t>Year and month of onset</a:t>
                </a:r>
              </a:p>
            </c:rich>
          </c:tx>
          <c:overlay val="0"/>
        </c:title>
        <c:numFmt formatCode="General" sourceLinked="1"/>
        <c:majorTickMark val="out"/>
        <c:minorTickMark val="none"/>
        <c:tickLblPos val="nextTo"/>
        <c:txPr>
          <a:bodyPr rot="-5400000" vert="horz"/>
          <a:lstStyle/>
          <a:p>
            <a:pPr>
              <a:defRPr/>
            </a:pPr>
            <a:endParaRPr lang="en-US"/>
          </a:p>
        </c:txPr>
        <c:crossAx val="60826368"/>
        <c:crosses val="autoZero"/>
        <c:auto val="1"/>
        <c:lblAlgn val="ctr"/>
        <c:lblOffset val="100"/>
        <c:noMultiLvlLbl val="0"/>
      </c:catAx>
      <c:valAx>
        <c:axId val="60826368"/>
        <c:scaling>
          <c:orientation val="minMax"/>
        </c:scaling>
        <c:delete val="0"/>
        <c:axPos val="l"/>
        <c:majorGridlines>
          <c:spPr>
            <a:ln>
              <a:noFill/>
            </a:ln>
          </c:spPr>
        </c:majorGridlines>
        <c:title>
          <c:tx>
            <c:rich>
              <a:bodyPr rot="-5400000" vert="horz"/>
              <a:lstStyle/>
              <a:p>
                <a:pPr>
                  <a:defRPr/>
                </a:pPr>
                <a:r>
                  <a:rPr lang="en-US"/>
                  <a:t>Number of notifications</a:t>
                </a:r>
              </a:p>
            </c:rich>
          </c:tx>
          <c:overlay val="0"/>
        </c:title>
        <c:numFmt formatCode="General" sourceLinked="1"/>
        <c:majorTickMark val="out"/>
        <c:minorTickMark val="none"/>
        <c:tickLblPos val="nextTo"/>
        <c:crossAx val="60680832"/>
        <c:crosses val="autoZero"/>
        <c:crossBetween val="between"/>
      </c:valAx>
      <c:spPr>
        <a:noFill/>
      </c:spPr>
    </c:plotArea>
    <c:legend>
      <c:legendPos val="r"/>
      <c:layout>
        <c:manualLayout>
          <c:xMode val="edge"/>
          <c:yMode val="edge"/>
          <c:x val="0.70654530527273973"/>
          <c:y val="8.4260390830321066E-2"/>
          <c:w val="0.26607098275323671"/>
          <c:h val="0.15732960572501259"/>
        </c:manualLayout>
      </c:layout>
      <c:overlay val="1"/>
    </c:legend>
    <c:plotVisOnly val="1"/>
    <c:dispBlanksAs val="gap"/>
    <c:showDLblsOverMax val="0"/>
  </c:chart>
  <c:spPr>
    <a:noFill/>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0.00737</cdr:x>
      <cdr:y>0.92417</cdr:y>
    </cdr:from>
    <cdr:to>
      <cdr:x>0.26704</cdr:x>
      <cdr:y>1</cdr:y>
    </cdr:to>
    <cdr:sp macro="" textlink="">
      <cdr:nvSpPr>
        <cdr:cNvPr id="2" name="TextBox 1"/>
        <cdr:cNvSpPr txBox="1"/>
      </cdr:nvSpPr>
      <cdr:spPr>
        <a:xfrm xmlns:a="http://schemas.openxmlformats.org/drawingml/2006/main">
          <a:off x="45943" y="2351523"/>
          <a:ext cx="1618730" cy="1928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0" i="0">
              <a:effectLst/>
              <a:latin typeface="+mn-lt"/>
              <a:ea typeface="+mn-ea"/>
              <a:cs typeface="+mn-cs"/>
            </a:rPr>
            <a:t>© WA Department of Health 2019</a:t>
          </a:r>
          <a:endParaRPr lang="en-AU" sz="800"/>
        </a:p>
      </cdr:txBody>
    </cdr:sp>
  </cdr:relSizeAnchor>
</c:userShape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ADDA-3CD5-470B-8CB7-23480950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Witham, Benjamin</dc:creator>
  <cp:lastModifiedBy>Witham, Benjamin</cp:lastModifiedBy>
  <cp:revision>5</cp:revision>
  <dcterms:created xsi:type="dcterms:W3CDTF">2019-10-04T07:17:00Z</dcterms:created>
  <dcterms:modified xsi:type="dcterms:W3CDTF">2020-04-07T04:33:00Z</dcterms:modified>
</cp:coreProperties>
</file>