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DF" w:rsidRPr="00DB1BDF" w:rsidRDefault="00DB1BDF" w:rsidP="001F6030">
      <w:pPr>
        <w:rPr>
          <w:b/>
        </w:rPr>
      </w:pPr>
      <w:r w:rsidRPr="00DB1BDF">
        <w:rPr>
          <w:b/>
        </w:rPr>
        <w:t>Schedule 1 – Prescribed offences and modified penalties</w:t>
      </w:r>
    </w:p>
    <w:p w:rsidR="00DB1BDF" w:rsidRPr="00F557E1" w:rsidRDefault="00DB1BDF" w:rsidP="00DB1BDF">
      <w:pPr>
        <w:rPr>
          <w:rFonts w:eastAsia="Cambria"/>
        </w:rPr>
      </w:pPr>
      <w:r w:rsidRPr="00F557E1">
        <w:rPr>
          <w:rFonts w:eastAsia="Cambria"/>
        </w:rPr>
        <w:t xml:space="preserve">The following is an extract from the </w:t>
      </w:r>
      <w:r w:rsidRPr="00F557E1">
        <w:rPr>
          <w:rFonts w:eastAsia="Cambria"/>
          <w:i/>
        </w:rPr>
        <w:t xml:space="preserve">Health (Asbestos) Regulations 1992. </w:t>
      </w:r>
      <w:r w:rsidRPr="00F557E1">
        <w:rPr>
          <w:rFonts w:eastAsia="Cambria"/>
        </w:rPr>
        <w:t xml:space="preserve">This is a prescribed form.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5234"/>
        <w:gridCol w:w="1917"/>
      </w:tblGrid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DB1BDF" w:rsidRPr="0009640A" w:rsidRDefault="00DB1BDF" w:rsidP="00844900">
            <w:pPr>
              <w:spacing w:after="0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09640A">
              <w:rPr>
                <w:b/>
                <w:color w:val="FFFFFF" w:themeColor="background1"/>
                <w:sz w:val="22"/>
              </w:rPr>
              <w:t>Asbestos</w:t>
            </w:r>
          </w:p>
          <w:p w:rsidR="00DB1BDF" w:rsidRPr="0009640A" w:rsidRDefault="00DB1BDF" w:rsidP="00844900">
            <w:pPr>
              <w:spacing w:after="0"/>
              <w:rPr>
                <w:b/>
                <w:color w:val="FFFFFF" w:themeColor="background1"/>
              </w:rPr>
            </w:pPr>
            <w:r w:rsidRPr="0009640A">
              <w:rPr>
                <w:b/>
                <w:color w:val="FFFFFF" w:themeColor="background1"/>
                <w:sz w:val="22"/>
              </w:rPr>
              <w:t>Regulation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DB1BDF" w:rsidRPr="0009640A" w:rsidRDefault="00DB1BDF" w:rsidP="00844900">
            <w:pPr>
              <w:spacing w:after="0"/>
              <w:rPr>
                <w:b/>
                <w:color w:val="FFFFFF" w:themeColor="background1"/>
              </w:rPr>
            </w:pPr>
            <w:r w:rsidRPr="0009640A">
              <w:rPr>
                <w:b/>
                <w:color w:val="FFFFFF" w:themeColor="background1"/>
                <w:sz w:val="22"/>
              </w:rPr>
              <w:t>Description of offence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DB1BDF" w:rsidRPr="0009640A" w:rsidRDefault="00DB1BDF" w:rsidP="0084490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9640A">
              <w:rPr>
                <w:b/>
                <w:color w:val="FFFFFF" w:themeColor="background1"/>
                <w:sz w:val="22"/>
              </w:rPr>
              <w:t>Modified penalty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r. 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Selling or supplying asbestos cement product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r. 7(1)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Using an asbestos cement product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r. 7(3)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Storing, breaking, damaging, cutting,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maintaining, repairing, removing, moving, or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disposing of, or using any material containing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asbestos without taking reasonable measures to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prevent asbestos fibres entering the atmosphere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$2,000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 xml:space="preserve">r. </w:t>
            </w:r>
            <w:proofErr w:type="spellStart"/>
            <w:r w:rsidRPr="00626322">
              <w:rPr>
                <w:sz w:val="22"/>
              </w:rPr>
              <w:t>7A</w:t>
            </w:r>
            <w:proofErr w:type="spellEnd"/>
            <w:r w:rsidRPr="00626322">
              <w:rPr>
                <w:sz w:val="22"/>
              </w:rPr>
              <w:t>(1)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Moving a dwelling-house built wholly or partly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with an asbestos cement product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$2,000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 xml:space="preserve">r. </w:t>
            </w:r>
            <w:proofErr w:type="spellStart"/>
            <w:r w:rsidRPr="00626322">
              <w:rPr>
                <w:sz w:val="22"/>
              </w:rPr>
              <w:t>7A</w:t>
            </w:r>
            <w:proofErr w:type="spellEnd"/>
            <w:r w:rsidRPr="00626322">
              <w:rPr>
                <w:sz w:val="22"/>
              </w:rPr>
              <w:t>(3)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Failing to comply with a condition on an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approval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$2,000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rFonts w:ascii="TT60o00" w:hAnsi="TT60o00" w:cs="TT60o00"/>
                <w:sz w:val="22"/>
              </w:rPr>
              <w:t xml:space="preserve">r. </w:t>
            </w:r>
            <w:proofErr w:type="spellStart"/>
            <w:r w:rsidRPr="00626322">
              <w:rPr>
                <w:rFonts w:ascii="TT60o00" w:hAnsi="TT60o00" w:cs="TT60o00"/>
                <w:sz w:val="22"/>
              </w:rPr>
              <w:t>7A</w:t>
            </w:r>
            <w:proofErr w:type="spellEnd"/>
            <w:r w:rsidRPr="00626322">
              <w:rPr>
                <w:rFonts w:ascii="TT60o00" w:hAnsi="TT60o00" w:cs="TT60o00"/>
                <w:sz w:val="22"/>
              </w:rPr>
              <w:t>(4)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Cutting or deliberately breaking an asbestos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cement product for the purpose of, or in the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course of, moving a dwelling-house built wholly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or partly with an asbestos cement product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$2,000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rFonts w:ascii="TT60o00" w:hAnsi="TT60o00" w:cs="TT60o00"/>
                <w:sz w:val="22"/>
              </w:rPr>
              <w:t>r. 8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Failing to comply with a direction in a notice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rFonts w:ascii="TT60o00" w:hAnsi="TT60o00" w:cs="TT60o00"/>
                <w:sz w:val="22"/>
              </w:rPr>
              <w:t>r. 11(1)(a)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Supplying material containing asbestos to another</w:t>
            </w:r>
          </w:p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for the purpose of having another person dispose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of it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rFonts w:ascii="TT60o00" w:hAnsi="TT60o00" w:cs="TT60o00"/>
                <w:sz w:val="22"/>
              </w:rPr>
              <w:t>r. 11(1)(b)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Transporting material containing asbestos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  <w:tr w:rsidR="00DB1BDF" w:rsidTr="00DB1BDF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rFonts w:ascii="TT60o00" w:hAnsi="TT60o00" w:cs="TT60o00"/>
                <w:sz w:val="22"/>
              </w:rPr>
              <w:t>r. 12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rPr>
                <w:rFonts w:ascii="TT60o00" w:hAnsi="TT60o00" w:cs="TT60o00"/>
              </w:rPr>
            </w:pPr>
            <w:r w:rsidRPr="00626322">
              <w:rPr>
                <w:rFonts w:ascii="TT60o00" w:hAnsi="TT60o00" w:cs="TT60o00"/>
                <w:sz w:val="22"/>
              </w:rPr>
              <w:t>Failing to inform a person that material is or</w:t>
            </w:r>
          </w:p>
          <w:p w:rsidR="00DB1BDF" w:rsidRPr="00626322" w:rsidRDefault="00DB1BDF" w:rsidP="00844900">
            <w:pPr>
              <w:spacing w:after="0"/>
            </w:pPr>
            <w:r w:rsidRPr="00626322">
              <w:rPr>
                <w:rFonts w:ascii="TT60o00" w:hAnsi="TT60o00" w:cs="TT60o00"/>
                <w:sz w:val="22"/>
              </w:rPr>
              <w:t>contains asbestos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DF" w:rsidRPr="00626322" w:rsidRDefault="00DB1BDF" w:rsidP="00844900">
            <w:pPr>
              <w:spacing w:after="0"/>
              <w:jc w:val="center"/>
            </w:pPr>
            <w:r w:rsidRPr="00626322">
              <w:rPr>
                <w:sz w:val="22"/>
              </w:rPr>
              <w:t>$1,000</w:t>
            </w:r>
          </w:p>
        </w:tc>
      </w:tr>
    </w:tbl>
    <w:p w:rsidR="00DB1BDF" w:rsidRPr="001F6030" w:rsidRDefault="00DB1BDF" w:rsidP="001F6030"/>
    <w:sectPr w:rsidR="00DB1BDF" w:rsidRPr="001F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0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DF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3A3C93"/>
    <w:rsid w:val="00466DB9"/>
    <w:rsid w:val="00471692"/>
    <w:rsid w:val="004A609E"/>
    <w:rsid w:val="004C2780"/>
    <w:rsid w:val="004C6976"/>
    <w:rsid w:val="0056716B"/>
    <w:rsid w:val="005A409E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35629"/>
    <w:rsid w:val="00D9301F"/>
    <w:rsid w:val="00DB1BD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DB1BDF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 w:line="276" w:lineRule="auto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 w:line="276" w:lineRule="auto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 w:line="276" w:lineRule="auto"/>
      <w:outlineLvl w:val="2"/>
    </w:pPr>
    <w:rPr>
      <w:rFonts w:ascii="Cambria" w:eastAsiaTheme="majorEastAsia" w:hAnsi="Cambria" w:cstheme="majorBidi"/>
      <w:b/>
      <w:bCs/>
      <w:color w:val="2DA2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 w:line="276" w:lineRule="auto"/>
      <w:outlineLvl w:val="3"/>
    </w:pPr>
    <w:rPr>
      <w:rFonts w:ascii="Cambria" w:eastAsiaTheme="majorEastAsia" w:hAnsi="Cambria" w:cstheme="majorBidi"/>
      <w:b/>
      <w:bCs/>
      <w:i/>
      <w:iCs/>
      <w:color w:val="2DA2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4"/>
    </w:pPr>
    <w:rPr>
      <w:rFonts w:ascii="Cambria" w:eastAsiaTheme="majorEastAsia" w:hAnsi="Cambria" w:cstheme="majorBidi"/>
      <w:color w:val="16505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5"/>
    </w:pPr>
    <w:rPr>
      <w:rFonts w:ascii="Cambria" w:eastAsiaTheme="majorEastAsia" w:hAnsi="Cambria" w:cstheme="majorBidi"/>
      <w:i/>
      <w:iCs/>
      <w:color w:val="16505E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76" w:lineRule="auto"/>
    </w:pPr>
    <w:rPr>
      <w:rFonts w:asciiTheme="minorHAnsi" w:hAnsiTheme="minorHAnsi"/>
      <w:b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76" w:lineRule="auto"/>
      <w:ind w:left="240"/>
    </w:pPr>
    <w:rPr>
      <w:rFonts w:asciiTheme="minorHAnsi" w:hAnsiTheme="minorHAnsi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76" w:lineRule="auto"/>
      <w:ind w:left="480"/>
    </w:pPr>
    <w:rPr>
      <w:rFonts w:asciiTheme="minorHAnsi" w:hAnsiTheme="minorHAnsi"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pPr>
      <w:spacing w:after="200"/>
    </w:pPr>
    <w:rPr>
      <w:rFonts w:asciiTheme="minorHAnsi" w:hAnsiTheme="minorHAns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pPr>
      <w:spacing w:after="200" w:line="276" w:lineRule="auto"/>
    </w:pPr>
    <w:rPr>
      <w:rFonts w:asciiTheme="minorHAnsi" w:hAnsiTheme="minorHAnsi"/>
      <w:i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2DA2BF"/>
      <w:sz w:val="22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DB1BDF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 w:line="276" w:lineRule="auto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 w:line="276" w:lineRule="auto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 w:line="276" w:lineRule="auto"/>
      <w:outlineLvl w:val="2"/>
    </w:pPr>
    <w:rPr>
      <w:rFonts w:ascii="Cambria" w:eastAsiaTheme="majorEastAsia" w:hAnsi="Cambria" w:cstheme="majorBidi"/>
      <w:b/>
      <w:bCs/>
      <w:color w:val="2DA2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 w:line="276" w:lineRule="auto"/>
      <w:outlineLvl w:val="3"/>
    </w:pPr>
    <w:rPr>
      <w:rFonts w:ascii="Cambria" w:eastAsiaTheme="majorEastAsia" w:hAnsi="Cambria" w:cstheme="majorBidi"/>
      <w:b/>
      <w:bCs/>
      <w:i/>
      <w:iCs/>
      <w:color w:val="2DA2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4"/>
    </w:pPr>
    <w:rPr>
      <w:rFonts w:ascii="Cambria" w:eastAsiaTheme="majorEastAsia" w:hAnsi="Cambria" w:cstheme="majorBidi"/>
      <w:color w:val="16505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5"/>
    </w:pPr>
    <w:rPr>
      <w:rFonts w:ascii="Cambria" w:eastAsiaTheme="majorEastAsia" w:hAnsi="Cambria" w:cstheme="majorBidi"/>
      <w:i/>
      <w:iCs/>
      <w:color w:val="16505E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76" w:lineRule="auto"/>
    </w:pPr>
    <w:rPr>
      <w:rFonts w:asciiTheme="minorHAnsi" w:hAnsiTheme="minorHAnsi"/>
      <w:b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76" w:lineRule="auto"/>
      <w:ind w:left="240"/>
    </w:pPr>
    <w:rPr>
      <w:rFonts w:asciiTheme="minorHAnsi" w:hAnsiTheme="minorHAnsi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76" w:lineRule="auto"/>
      <w:ind w:left="480"/>
    </w:pPr>
    <w:rPr>
      <w:rFonts w:asciiTheme="minorHAnsi" w:hAnsiTheme="minorHAnsi"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pPr>
      <w:spacing w:after="200"/>
    </w:pPr>
    <w:rPr>
      <w:rFonts w:asciiTheme="minorHAnsi" w:hAnsiTheme="minorHAns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pPr>
      <w:spacing w:after="200" w:line="276" w:lineRule="auto"/>
    </w:pPr>
    <w:rPr>
      <w:rFonts w:asciiTheme="minorHAnsi" w:hAnsiTheme="minorHAnsi"/>
      <w:i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2DA2BF"/>
      <w:sz w:val="22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F519-A514-4956-99A2-5F2048D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WA Health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Bree</dc:creator>
  <cp:lastModifiedBy>Abbott, Bree</cp:lastModifiedBy>
  <cp:revision>1</cp:revision>
  <dcterms:created xsi:type="dcterms:W3CDTF">2017-01-11T01:38:00Z</dcterms:created>
  <dcterms:modified xsi:type="dcterms:W3CDTF">2017-01-11T01:39:00Z</dcterms:modified>
</cp:coreProperties>
</file>