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FAD5" w14:textId="0BA12257" w:rsidR="00987271" w:rsidRDefault="00987271" w:rsidP="001F6030">
      <w:pPr>
        <w:rPr>
          <w:noProof/>
        </w:rPr>
      </w:pPr>
      <w:r w:rsidRPr="005504C9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E5C6C2F" wp14:editId="1558CF39">
            <wp:simplePos x="0" y="0"/>
            <wp:positionH relativeFrom="column">
              <wp:posOffset>3773394</wp:posOffset>
            </wp:positionH>
            <wp:positionV relativeFrom="paragraph">
              <wp:posOffset>29210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46A4CD" wp14:editId="73004FB1">
                <wp:simplePos x="0" y="0"/>
                <wp:positionH relativeFrom="column">
                  <wp:posOffset>4684582</wp:posOffset>
                </wp:positionH>
                <wp:positionV relativeFrom="paragraph">
                  <wp:posOffset>38212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6A4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8.85pt;margin-top:3pt;width:148.3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</w:t>
                      </w:r>
                      <w:bookmarkStart w:id="2" w:name="_GoBack"/>
                      <w:bookmarkEnd w:id="2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4656" behindDoc="0" locked="0" layoutInCell="1" allowOverlap="1" wp14:anchorId="0A4C912B" wp14:editId="5B0BB184">
            <wp:simplePos x="0" y="0"/>
            <wp:positionH relativeFrom="column">
              <wp:posOffset>-48447</wp:posOffset>
            </wp:positionH>
            <wp:positionV relativeFrom="paragraph">
              <wp:posOffset>31600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2B0C" w14:textId="5C14619D" w:rsidR="00987271" w:rsidRDefault="00987271" w:rsidP="001F6030">
      <w:pPr>
        <w:rPr>
          <w:noProof/>
        </w:rPr>
      </w:pPr>
      <w:r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64D8" wp14:editId="70E04185">
                <wp:simplePos x="0" y="0"/>
                <wp:positionH relativeFrom="column">
                  <wp:posOffset>-122331</wp:posOffset>
                </wp:positionH>
                <wp:positionV relativeFrom="paragraph">
                  <wp:posOffset>326204</wp:posOffset>
                </wp:positionV>
                <wp:extent cx="6837456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456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4F46E1E5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0027FF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3</w:t>
                            </w:r>
                            <w:r w:rsidR="000027FF" w:rsidRPr="000027FF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="000027FF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F53A4E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9.65pt;margin-top:25.7pt;width:538.4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" filled="f" stroked="f">
                <v:textbox>
                  <w:txbxContent>
                    <w:p w14:paraId="063F055C" w14:textId="4F46E1E5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0027FF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3</w:t>
                      </w:r>
                      <w:r w:rsidR="000027FF" w:rsidRPr="000027FF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rd</w:t>
                      </w:r>
                      <w:r w:rsidR="000027FF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F53A4E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79FFB57" w14:textId="6A947333" w:rsidR="008B0432" w:rsidRDefault="008B0432" w:rsidP="001F6030">
      <w:pPr>
        <w:rPr>
          <w:noProof/>
        </w:rPr>
      </w:pPr>
    </w:p>
    <w:p w14:paraId="2F7A1AD6" w14:textId="5B092B53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28A9CD" wp14:editId="0B9CEE96">
                <wp:simplePos x="0" y="0"/>
                <wp:positionH relativeFrom="column">
                  <wp:posOffset>-26894</wp:posOffset>
                </wp:positionH>
                <wp:positionV relativeFrom="paragraph">
                  <wp:posOffset>199241</wp:posOffset>
                </wp:positionV>
                <wp:extent cx="6653156" cy="14033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156" cy="1403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12165B16" w:rsidR="00D050EF" w:rsidRPr="009E6668" w:rsidRDefault="00926467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This report describes enteric disease surveillance and investigations carried out during the</w:t>
                            </w:r>
                            <w:r w:rsidR="000027FF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third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173B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027FF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by OzFoodNet </w:t>
                            </w:r>
                            <w:r w:rsidR="005C085E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Western Australia (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WA</w:t>
                            </w:r>
                            <w:r w:rsidR="005C085E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in conjunction with other WA Department of Health agencies and local governments.</w:t>
                            </w:r>
                            <w:r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1F12CD45" w:rsidR="006F36F0" w:rsidRPr="009E6668" w:rsidRDefault="006C1422">
                            <w:pPr>
                              <w:rPr>
                                <w:rFonts w:cs="Arial"/>
                                <w:color w:val="000000"/>
                                <w:szCs w:val="24"/>
                              </w:rPr>
                            </w:pP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92646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increase in notifications 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A0518C" w:rsidRPr="00036531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Vibrio parahaemolyticus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is due to the start of </w:t>
                            </w:r>
                            <w:r w:rsidR="004852DB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oyster associated outbreak, that continued into the fourth quarter</w:t>
                            </w:r>
                            <w:r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The increase in rotavirus notifications is thought to be due to an introduction into WA of </w:t>
                            </w:r>
                            <w:r w:rsidR="004020C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new rotavirus strain.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37862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decrease in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other enteric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notifications in </w:t>
                            </w:r>
                            <w:r w:rsidR="00A0518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Q2</w:t>
                            </w:r>
                            <w:r w:rsidR="00F53A4E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862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continues to be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BE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likely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due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COVID-19 public health measures including</w:t>
                            </w:r>
                            <w:r w:rsidR="00311381"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travel restrictions </w:t>
                            </w:r>
                            <w:r w:rsidR="00881BE7"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possible improvements in hand hygiene in the general community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B6B95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.1pt;margin-top:15.7pt;width:523.85pt;height:1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" fillcolor="#d7dded [671]" stroked="f">
                <v:textbox>
                  <w:txbxContent>
                    <w:p w14:paraId="0D36CD26" w14:textId="12165B16" w:rsidR="00D050EF" w:rsidRPr="009E6668" w:rsidRDefault="00926467">
                      <w:pP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This report describes enteric disease surveillance and investigations carried out during the</w:t>
                      </w:r>
                      <w:r w:rsidR="000027FF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third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quarter of 20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173B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0027FF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Q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by OzFoodNet </w:t>
                      </w:r>
                      <w:r w:rsidR="005C085E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Western Australia (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WA</w:t>
                      </w:r>
                      <w:r w:rsidR="005C085E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in conjunction with other WA Department of Health agencies and local governments.</w:t>
                      </w:r>
                      <w:r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1F12CD45" w:rsidR="006F36F0" w:rsidRPr="009E6668" w:rsidRDefault="006C1422">
                      <w:pPr>
                        <w:rPr>
                          <w:rFonts w:cs="Arial"/>
                          <w:color w:val="000000"/>
                          <w:szCs w:val="24"/>
                        </w:rPr>
                      </w:pP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T</w:t>
                      </w:r>
                      <w:r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="0092646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increase in notifications 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of </w:t>
                      </w:r>
                      <w:r w:rsidR="00A0518C" w:rsidRPr="00036531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>Vibrio parahaemolyticus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is due to the start of </w:t>
                      </w:r>
                      <w:r w:rsidR="004852DB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an 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oyster associated outbreak, that continued into the fourth quarter</w:t>
                      </w:r>
                      <w:r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The increase in rotavirus notifications is thought to be due to an introduction into WA of </w:t>
                      </w:r>
                      <w:r w:rsidR="004020C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new rotavirus strain.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r w:rsidRPr="00037862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decrease in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 xml:space="preserve">other enteric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notifications in </w:t>
                      </w:r>
                      <w:r w:rsidR="00A0518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Q2</w:t>
                      </w:r>
                      <w:r w:rsidR="00F53A4E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37862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continues to be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81BE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likely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due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COVID-19 public health measures including</w:t>
                      </w:r>
                      <w:r w:rsidR="00311381" w:rsidRPr="0003786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travel restrictions </w:t>
                      </w:r>
                      <w:r w:rsidR="00881BE7" w:rsidRPr="00037862">
                        <w:rPr>
                          <w:rFonts w:cs="Arial"/>
                          <w:sz w:val="20"/>
                          <w:szCs w:val="20"/>
                        </w:rPr>
                        <w:t>and possible improvements in hand hygiene in the general community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1B6B95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3896005"/>
      <w:bookmarkEnd w:id="0"/>
    </w:p>
    <w:p w14:paraId="5A27791E" w14:textId="32FD4E61" w:rsidR="00314181" w:rsidRDefault="00987271" w:rsidP="00002E4E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3829AE" wp14:editId="79A92940">
                <wp:simplePos x="0" y="0"/>
                <wp:positionH relativeFrom="column">
                  <wp:posOffset>-26894</wp:posOffset>
                </wp:positionH>
                <wp:positionV relativeFrom="paragraph">
                  <wp:posOffset>8118736</wp:posOffset>
                </wp:positionV>
                <wp:extent cx="6652895" cy="578224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578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378E" w14:textId="4E9F2CDE" w:rsidR="000027FF" w:rsidRDefault="00BE50E9" w:rsidP="000027F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 xml:space="preserve">Percentage change in the number of notifications in the current quarter compared to the historical </w:t>
                            </w:r>
                            <w:r w:rsidR="00C827CF">
                              <w:rPr>
                                <w:sz w:val="16"/>
                              </w:rPr>
                              <w:t>five</w:t>
                            </w:r>
                            <w:r w:rsidR="00D723C4" w:rsidRPr="0024249E">
                              <w:rPr>
                                <w:sz w:val="16"/>
                              </w:rPr>
                              <w:t xml:space="preserve">-year mean for the same quarter. Positive values indicate an increase when compared to the historical </w:t>
                            </w:r>
                            <w:r w:rsidR="00C827CF">
                              <w:rPr>
                                <w:sz w:val="16"/>
                              </w:rPr>
                              <w:t>five</w:t>
                            </w:r>
                            <w:r w:rsidR="00D723C4" w:rsidRPr="0024249E">
                              <w:rPr>
                                <w:sz w:val="16"/>
                              </w:rPr>
                              <w:t xml:space="preserve">-year mean </w:t>
                            </w:r>
                            <w:bookmarkStart w:id="1" w:name="_Hlk96675158"/>
                            <w:r w:rsidR="00D723C4" w:rsidRPr="0024249E">
                              <w:rPr>
                                <w:sz w:val="16"/>
                              </w:rPr>
                              <w:t>of the same quarter</w:t>
                            </w:r>
                            <w:bookmarkEnd w:id="1"/>
                            <w:r w:rsidR="00D723C4" w:rsidRPr="0024249E">
                              <w:rPr>
                                <w:sz w:val="16"/>
                              </w:rPr>
                              <w:t>. Negative values indicate a decrease when compared to the historical</w:t>
                            </w:r>
                            <w:r w:rsidR="00C827CF">
                              <w:rPr>
                                <w:sz w:val="16"/>
                              </w:rPr>
                              <w:t xml:space="preserve"> five</w:t>
                            </w:r>
                            <w:r w:rsidR="00D723C4" w:rsidRPr="0024249E">
                              <w:rPr>
                                <w:sz w:val="16"/>
                              </w:rPr>
                              <w:t>-year mean of the same quarter. Percentage change should be interpreted with caution when the number of cases is small.</w:t>
                            </w:r>
                            <w:r w:rsidR="00987271">
                              <w:rPr>
                                <w:sz w:val="16"/>
                              </w:rPr>
                              <w:t xml:space="preserve"> </w:t>
                            </w:r>
                            <w:r w:rsidR="000027FF">
                              <w:rPr>
                                <w:sz w:val="16"/>
                              </w:rPr>
                              <w:t>**Haemolytic uraemic syndrome case was also n</w:t>
                            </w:r>
                            <w:r w:rsidR="000027FF" w:rsidRPr="000027FF">
                              <w:rPr>
                                <w:sz w:val="16"/>
                              </w:rPr>
                              <w:t xml:space="preserve">otified </w:t>
                            </w:r>
                            <w:r w:rsidR="000027FF">
                              <w:rPr>
                                <w:sz w:val="16"/>
                              </w:rPr>
                              <w:t>with invasive</w:t>
                            </w:r>
                            <w:r w:rsidR="000027FF" w:rsidRPr="000027FF">
                              <w:rPr>
                                <w:sz w:val="16"/>
                              </w:rPr>
                              <w:t xml:space="preserve"> </w:t>
                            </w:r>
                            <w:r w:rsidR="000027FF" w:rsidRPr="000027FF">
                              <w:rPr>
                                <w:i/>
                                <w:sz w:val="16"/>
                              </w:rPr>
                              <w:t>Streptococcus pneumoniae</w:t>
                            </w:r>
                            <w:r w:rsidR="000027F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0027FF" w:rsidRPr="000027FF">
                              <w:rPr>
                                <w:sz w:val="16"/>
                              </w:rPr>
                              <w:t>infection</w:t>
                            </w:r>
                          </w:p>
                          <w:p w14:paraId="3D10FAC4" w14:textId="77777777" w:rsidR="000027FF" w:rsidRDefault="000027FF" w:rsidP="0024249E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F7191C" w14:textId="0CEAAB85" w:rsidR="000027FF" w:rsidRPr="0024249E" w:rsidRDefault="000027FF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29" type="#_x0000_t202" style="position:absolute;margin-left:-2.1pt;margin-top:639.25pt;width:523.85pt;height:4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" filled="f" stroked="f">
                <v:textbox inset=".5mm,.3mm,.5mm,.3mm">
                  <w:txbxContent>
                    <w:p w14:paraId="0913378E" w14:textId="4E9F2CDE" w:rsidR="000027FF" w:rsidRDefault="00BE50E9" w:rsidP="000027FF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 xml:space="preserve">Percentage change in the number of notifications in the current quarter compared to the historical </w:t>
                      </w:r>
                      <w:r w:rsidR="00C827CF">
                        <w:rPr>
                          <w:sz w:val="16"/>
                        </w:rPr>
                        <w:t>five</w:t>
                      </w:r>
                      <w:r w:rsidR="00D723C4" w:rsidRPr="0024249E">
                        <w:rPr>
                          <w:sz w:val="16"/>
                        </w:rPr>
                        <w:t xml:space="preserve">-year mean for the same quarter. Positive values indicate an increase when compared to the historical </w:t>
                      </w:r>
                      <w:r w:rsidR="00C827CF">
                        <w:rPr>
                          <w:sz w:val="16"/>
                        </w:rPr>
                        <w:t>five</w:t>
                      </w:r>
                      <w:r w:rsidR="00D723C4" w:rsidRPr="0024249E">
                        <w:rPr>
                          <w:sz w:val="16"/>
                        </w:rPr>
                        <w:t xml:space="preserve">-year mean </w:t>
                      </w:r>
                      <w:bookmarkStart w:id="2" w:name="_Hlk96675158"/>
                      <w:r w:rsidR="00D723C4" w:rsidRPr="0024249E">
                        <w:rPr>
                          <w:sz w:val="16"/>
                        </w:rPr>
                        <w:t>of the same quarter</w:t>
                      </w:r>
                      <w:bookmarkEnd w:id="2"/>
                      <w:r w:rsidR="00D723C4" w:rsidRPr="0024249E">
                        <w:rPr>
                          <w:sz w:val="16"/>
                        </w:rPr>
                        <w:t>. Negative values indicate a decrease when compared to the historical</w:t>
                      </w:r>
                      <w:r w:rsidR="00C827CF">
                        <w:rPr>
                          <w:sz w:val="16"/>
                        </w:rPr>
                        <w:t xml:space="preserve"> five</w:t>
                      </w:r>
                      <w:r w:rsidR="00D723C4" w:rsidRPr="0024249E">
                        <w:rPr>
                          <w:sz w:val="16"/>
                        </w:rPr>
                        <w:t>-year mean of the same quarter. Percentage change should be interpreted with caution when the number of cases is small.</w:t>
                      </w:r>
                      <w:r w:rsidR="00987271">
                        <w:rPr>
                          <w:sz w:val="16"/>
                        </w:rPr>
                        <w:t xml:space="preserve"> </w:t>
                      </w:r>
                      <w:r w:rsidR="000027FF">
                        <w:rPr>
                          <w:sz w:val="16"/>
                        </w:rPr>
                        <w:t>**Haemolytic uraemic syndrome case was also n</w:t>
                      </w:r>
                      <w:r w:rsidR="000027FF" w:rsidRPr="000027FF">
                        <w:rPr>
                          <w:sz w:val="16"/>
                        </w:rPr>
                        <w:t xml:space="preserve">otified </w:t>
                      </w:r>
                      <w:r w:rsidR="000027FF">
                        <w:rPr>
                          <w:sz w:val="16"/>
                        </w:rPr>
                        <w:t>with invasive</w:t>
                      </w:r>
                      <w:r w:rsidR="000027FF" w:rsidRPr="000027FF">
                        <w:rPr>
                          <w:sz w:val="16"/>
                        </w:rPr>
                        <w:t xml:space="preserve"> </w:t>
                      </w:r>
                      <w:r w:rsidR="000027FF" w:rsidRPr="000027FF">
                        <w:rPr>
                          <w:i/>
                          <w:sz w:val="16"/>
                        </w:rPr>
                        <w:t>Streptococcus pneumoniae</w:t>
                      </w:r>
                      <w:r w:rsidR="000027FF">
                        <w:rPr>
                          <w:i/>
                          <w:sz w:val="16"/>
                        </w:rPr>
                        <w:t xml:space="preserve"> </w:t>
                      </w:r>
                      <w:r w:rsidR="000027FF" w:rsidRPr="000027FF">
                        <w:rPr>
                          <w:sz w:val="16"/>
                        </w:rPr>
                        <w:t>infection</w:t>
                      </w:r>
                    </w:p>
                    <w:p w14:paraId="3D10FAC4" w14:textId="77777777" w:rsidR="000027FF" w:rsidRDefault="000027FF" w:rsidP="0024249E">
                      <w:pPr>
                        <w:rPr>
                          <w:sz w:val="16"/>
                        </w:rPr>
                      </w:pPr>
                    </w:p>
                    <w:p w14:paraId="76F7191C" w14:textId="0CEAAB85" w:rsidR="000027FF" w:rsidRPr="0024249E" w:rsidRDefault="000027FF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76B429" wp14:editId="4EC9B51A">
                <wp:simplePos x="0" y="0"/>
                <wp:positionH relativeFrom="column">
                  <wp:posOffset>-26894</wp:posOffset>
                </wp:positionH>
                <wp:positionV relativeFrom="paragraph">
                  <wp:posOffset>4071172</wp:posOffset>
                </wp:positionV>
                <wp:extent cx="6652895" cy="410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410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3FAEDE20" w:rsidR="00F16266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</w:pPr>
                            <w:r w:rsidRPr="0031138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</w:t>
                            </w: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hange</w:t>
                            </w:r>
                            <w:r w:rsidR="00FB153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s</w:t>
                            </w: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in enteric disease notifications (%)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r w:rsidR="000027FF" w:rsidRPr="000027FF">
                              <w:rPr>
                                <w:noProof/>
                              </w:rPr>
                              <w:drawing>
                                <wp:inline distT="0" distB="0" distL="0" distR="0" wp14:anchorId="0CD245B1" wp14:editId="3ED4AA8F">
                                  <wp:extent cx="6304520" cy="3743325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4520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9518B" w14:textId="4A423D70" w:rsidR="009E025F" w:rsidRPr="00E065B7" w:rsidRDefault="009E025F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39A856B8" w14:textId="78A688B0" w:rsidR="00F16266" w:rsidRDefault="00F16266" w:rsidP="0027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0" type="#_x0000_t202" style="position:absolute;margin-left:-2.1pt;margin-top:320.55pt;width:523.85pt;height:3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" fillcolor="#d7dded [671]" stroked="f">
                <v:fill opacity="32896f"/>
                <v:textbox>
                  <w:txbxContent>
                    <w:p w14:paraId="19E9CE9F" w14:textId="3FAEDE20" w:rsidR="00F16266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</w:pPr>
                      <w:r w:rsidRPr="0031138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</w:t>
                      </w: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hange</w:t>
                      </w:r>
                      <w:r w:rsidR="00FB1536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s</w:t>
                      </w: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in enteric disease notifications (%)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r w:rsidR="000027FF" w:rsidRPr="000027FF">
                        <w:rPr>
                          <w:noProof/>
                        </w:rPr>
                        <w:drawing>
                          <wp:inline distT="0" distB="0" distL="0" distR="0" wp14:anchorId="0CD245B1" wp14:editId="3ED4AA8F">
                            <wp:extent cx="6304520" cy="3743325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4520" cy="374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9518B" w14:textId="4A423D70" w:rsidR="009E025F" w:rsidRPr="00E065B7" w:rsidRDefault="009E025F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</w:p>
                    <w:p w14:paraId="39A856B8" w14:textId="78A688B0" w:rsidR="00F16266" w:rsidRDefault="00F16266" w:rsidP="00276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A6F36" wp14:editId="340DFD61">
                <wp:simplePos x="0" y="0"/>
                <wp:positionH relativeFrom="column">
                  <wp:posOffset>-26894</wp:posOffset>
                </wp:positionH>
                <wp:positionV relativeFrom="paragraph">
                  <wp:posOffset>1319380</wp:posOffset>
                </wp:positionV>
                <wp:extent cx="6652895" cy="2755153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275515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1E23D162" w:rsidR="006F36F0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0027F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F53A4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  <w:p w14:paraId="32E9F53C" w14:textId="3701BED8" w:rsidR="009E025F" w:rsidRPr="00143F9C" w:rsidRDefault="000027FF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0027FF">
                              <w:rPr>
                                <w:noProof/>
                              </w:rPr>
                              <w:drawing>
                                <wp:inline distT="0" distB="0" distL="0" distR="0" wp14:anchorId="34C59B29" wp14:editId="211DD951">
                                  <wp:extent cx="5619600" cy="23868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600" cy="238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31" type="#_x0000_t202" style="position:absolute;margin-left:-2.1pt;margin-top:103.9pt;width:523.85pt;height:216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" fillcolor="#d7dded [671]" stroked="f">
                <v:fill opacity="32896f"/>
                <v:textbox>
                  <w:txbxContent>
                    <w:p w14:paraId="2F70CE48" w14:textId="1E23D162" w:rsidR="006F36F0" w:rsidRDefault="006F36F0" w:rsidP="00F1626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0027F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F53A4E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  <w:p w14:paraId="32E9F53C" w14:textId="3701BED8" w:rsidR="009E025F" w:rsidRPr="00143F9C" w:rsidRDefault="000027FF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0027FF">
                        <w:rPr>
                          <w:noProof/>
                        </w:rPr>
                        <w:drawing>
                          <wp:inline distT="0" distB="0" distL="0" distR="0" wp14:anchorId="34C59B29" wp14:editId="211DD951">
                            <wp:extent cx="5619600" cy="238680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600" cy="238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14:paraId="7D7F7D45" w14:textId="749C0F20" w:rsidR="00810715" w:rsidRDefault="00810715" w:rsidP="00810715">
      <w:pPr>
        <w:rPr>
          <w:noProof/>
        </w:rPr>
      </w:pPr>
      <w:r>
        <w:rPr>
          <w:b/>
          <w:noProof/>
          <w:color w:val="FF000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6D6FC0" wp14:editId="24AAB396">
                <wp:simplePos x="0" y="0"/>
                <wp:positionH relativeFrom="column">
                  <wp:posOffset>-37</wp:posOffset>
                </wp:positionH>
                <wp:positionV relativeFrom="paragraph">
                  <wp:posOffset>0</wp:posOffset>
                </wp:positionV>
                <wp:extent cx="6548718" cy="40233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18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108CA" w14:textId="6DECFF34" w:rsidR="00FB1536" w:rsidRPr="00FB1536" w:rsidRDefault="00FB1536" w:rsidP="00FB1536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FB153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Refer to Appendix 1 for Enteric diseases by public health region: </w:t>
                            </w:r>
                          </w:p>
                          <w:p w14:paraId="58FAF28A" w14:textId="094E6675" w:rsidR="00FB1536" w:rsidRPr="00827C96" w:rsidRDefault="00277F8B" w:rsidP="00FB1536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4" w:history="1">
                              <w:r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https://ww2.health.wa.gov.au/-/media/Corp/Documents/Health-for/Infectious-disease/OZfoodnet/Word/WA-OzFoodnet-appendix1-2021-</w:t>
                              </w:r>
                              <w:r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3.docx</w:t>
                              </w:r>
                            </w:hyperlink>
                          </w:p>
                          <w:p w14:paraId="2E378B13" w14:textId="77777777" w:rsidR="00FB1536" w:rsidRPr="00A6066D" w:rsidRDefault="00FB1536" w:rsidP="00FB153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6FC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2" type="#_x0000_t202" style="position:absolute;margin-left:0;margin-top:0;width:515.65pt;height:3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" filled="f" stroked="f" strokeweight=".5pt">
                <v:textbox>
                  <w:txbxContent>
                    <w:p w14:paraId="0B4108CA" w14:textId="6DECFF34" w:rsidR="00FB1536" w:rsidRPr="00FB1536" w:rsidRDefault="00FB1536" w:rsidP="00FB1536">
                      <w:pPr>
                        <w:spacing w:after="0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FB1536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Refer to Appendix 1 for Enteric diseases by public health region: </w:t>
                      </w:r>
                    </w:p>
                    <w:p w14:paraId="58FAF28A" w14:textId="094E6675" w:rsidR="00FB1536" w:rsidRPr="00827C96" w:rsidRDefault="00277F8B" w:rsidP="00FB1536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5" w:history="1">
                        <w:r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https://ww2.health.wa.gov.au/-/media/Corp/Documents/Health-for/Infectious-disease/OZfoodnet/Word/WA-OzFoodnet-appendix1-2021-</w:t>
                        </w:r>
                        <w:r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Q</w:t>
                        </w:r>
                        <w:r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3.docx</w:t>
                        </w:r>
                      </w:hyperlink>
                    </w:p>
                    <w:p w14:paraId="2E378B13" w14:textId="77777777" w:rsidR="00FB1536" w:rsidRPr="00A6066D" w:rsidRDefault="00FB1536" w:rsidP="00FB153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5B149" w14:textId="1E1A112B" w:rsidR="00810715" w:rsidRDefault="00810715" w:rsidP="00B44201">
      <w:pPr>
        <w:spacing w:after="0"/>
        <w:rPr>
          <w:noProof/>
        </w:rPr>
      </w:pPr>
    </w:p>
    <w:p w14:paraId="1672ABB8" w14:textId="77777777" w:rsidR="00EE6970" w:rsidRDefault="00EE6970" w:rsidP="00B44201">
      <w:pPr>
        <w:spacing w:after="0"/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</w:p>
    <w:p w14:paraId="529F02AD" w14:textId="4C8B48BF" w:rsidR="00810715" w:rsidRDefault="00810715" w:rsidP="00B44201">
      <w:pPr>
        <w:jc w:val="center"/>
        <w:rPr>
          <w:noProof/>
        </w:rPr>
      </w:pPr>
      <w:r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3</w:t>
      </w:r>
      <w:r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2021</w:t>
      </w:r>
    </w:p>
    <w:p w14:paraId="7EB6A648" w14:textId="6760F214" w:rsidR="00810715" w:rsidRDefault="00810715" w:rsidP="00B44201">
      <w:pPr>
        <w:spacing w:after="200" w:line="276" w:lineRule="auto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96EBB" wp14:editId="0ECB15E3">
                <wp:simplePos x="0" y="0"/>
                <wp:positionH relativeFrom="column">
                  <wp:posOffset>-27156</wp:posOffset>
                </wp:positionH>
                <wp:positionV relativeFrom="paragraph">
                  <wp:posOffset>3497655</wp:posOffset>
                </wp:positionV>
                <wp:extent cx="6652800" cy="5237629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00" cy="523762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378AD39B" w:rsidR="00447A73" w:rsidRPr="00600F2C" w:rsidRDefault="00F16266" w:rsidP="00115C12">
                            <w:pPr>
                              <w:spacing w:after="12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115C1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046DB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  <w:p w14:paraId="77F73052" w14:textId="77777777" w:rsidR="00BB48D3" w:rsidRPr="003C0861" w:rsidRDefault="00BB48D3" w:rsidP="00115C12">
                            <w:pPr>
                              <w:spacing w:after="120"/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rFonts w:eastAsia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Salmonella</w:t>
                            </w:r>
                            <w:r w:rsidRPr="003C0861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 xml:space="preserve"> Typhimurium (STM) </w:t>
                            </w:r>
                            <w:bookmarkStart w:id="2" w:name="_Hlk83899768"/>
                            <w:r w:rsidRPr="003C0861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 xml:space="preserve">MLVA 03-17-09-12-523 </w:t>
                            </w:r>
                            <w:bookmarkEnd w:id="2"/>
                          </w:p>
                          <w:p w14:paraId="7C6E45B7" w14:textId="7EB983EF" w:rsidR="00806BA0" w:rsidRPr="00F86D84" w:rsidRDefault="00806BA0" w:rsidP="00115C12">
                            <w:pPr>
                              <w:spacing w:after="120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There has been a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64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 decrease 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in all 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037862" w:rsidRP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almonell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osis</w:t>
                            </w:r>
                            <w:r w:rsidR="00037862" w:rsidRPr="00F86D84">
                              <w:rPr>
                                <w:rFonts w:eastAsia="Calibri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notifications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0A5E5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3Q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21</w:t>
                            </w:r>
                            <w:r w:rsidR="000A5E5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142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notifications compared to the </w:t>
                            </w:r>
                            <w:r w:rsidR="00C827C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historical five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-year average of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400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notifications. The most common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serovar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037862" w:rsidRPr="00F86D84">
                              <w:rPr>
                                <w:rFonts w:eastAsia="Calibri" w:cs="Times New Roman"/>
                                <w:i/>
                                <w:sz w:val="20"/>
                                <w:szCs w:val="20"/>
                              </w:rPr>
                              <w:t>Salmonella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Q21 was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There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63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notifications in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Q21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 a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 decrease compared to the </w:t>
                            </w:r>
                            <w:r w:rsidR="00C827C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historical five</w:t>
                            </w:r>
                            <w:r w:rsidR="00C827CF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-year average 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190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399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notifications.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LVA type 03-17-09-12-523</w:t>
                            </w:r>
                            <w:r w:rsidR="00CE08E0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was the most common in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CE08E0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Q21</w:t>
                            </w:r>
                            <w:r w:rsidR="000A5E5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CE08E0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as has been the case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since its emergence in September 2016. </w:t>
                            </w:r>
                          </w:p>
                          <w:p w14:paraId="6105A190" w14:textId="6D1A871E" w:rsidR="00BB48D3" w:rsidRPr="00853B25" w:rsidRDefault="00BB48D3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From September 20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September</w:t>
                            </w:r>
                            <w:r w:rsidR="00046DB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ED719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80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</w:t>
                            </w:r>
                            <w:r w:rsidR="0003653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03653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notified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99532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D719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 This MLVA type constitut</w:t>
                            </w:r>
                            <w:r w:rsidR="0003653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86D8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There w</w:t>
                            </w:r>
                            <w:r w:rsidR="000A5E5B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one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point-source outbreak of MLVA 03-17-09-12-523 identified in this quarter comprising of 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including eight confirmed cases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 majority of these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A3D8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115C12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</w:t>
                            </w:r>
                            <w:r w:rsidR="0003653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cases 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resided in the Perth metropolitan area. </w:t>
                            </w:r>
                          </w:p>
                          <w:p w14:paraId="3014012F" w14:textId="657ADEA7" w:rsidR="00D050EF" w:rsidRPr="00FC2612" w:rsidRDefault="00115C12" w:rsidP="00F25D18">
                            <w:pPr>
                              <w:jc w:val="center"/>
                            </w:pPr>
                            <w:r w:rsidRPr="00115C12">
                              <w:rPr>
                                <w:noProof/>
                              </w:rPr>
                              <w:drawing>
                                <wp:inline distT="0" distB="0" distL="0" distR="0" wp14:anchorId="5C219237" wp14:editId="0C1C404F">
                                  <wp:extent cx="5571744" cy="2618248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8988" cy="2621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06EB2E79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</w:t>
                            </w:r>
                            <w:r w:rsidR="00E4600B">
                              <w:rPr>
                                <w:color w:val="465E9C" w:themeColor="text2"/>
                                <w:sz w:val="20"/>
                              </w:rPr>
                              <w:t xml:space="preserve">, 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 xml:space="preserve">September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>201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>6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to </w:t>
                            </w:r>
                            <w:r w:rsidR="00115C12">
                              <w:rPr>
                                <w:color w:val="465E9C" w:themeColor="text2"/>
                                <w:sz w:val="20"/>
                              </w:rPr>
                              <w:t>September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 xml:space="preserve"> 2021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3" type="#_x0000_t202" style="position:absolute;left:0;text-align:left;margin-left:-2.15pt;margin-top:275.4pt;width:523.85pt;height:4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" fillcolor="#d7dded [671]" stroked="f">
                <v:fill opacity="32896f"/>
                <v:textbox>
                  <w:txbxContent>
                    <w:p w14:paraId="453BC760" w14:textId="378AD39B" w:rsidR="00447A73" w:rsidRPr="00600F2C" w:rsidRDefault="00F16266" w:rsidP="00115C12">
                      <w:pPr>
                        <w:spacing w:after="12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115C12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046DB2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  <w:p w14:paraId="77F73052" w14:textId="77777777" w:rsidR="00BB48D3" w:rsidRPr="003C0861" w:rsidRDefault="00BB48D3" w:rsidP="00115C12">
                      <w:pPr>
                        <w:spacing w:after="120"/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</w:pPr>
                      <w:r w:rsidRPr="003C0861">
                        <w:rPr>
                          <w:rFonts w:eastAsia="Calibri" w:cs="Times New Roman"/>
                          <w:b/>
                          <w:i/>
                          <w:sz w:val="20"/>
                          <w:szCs w:val="20"/>
                        </w:rPr>
                        <w:t>Salmonella</w:t>
                      </w:r>
                      <w:r w:rsidRPr="003C0861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 xml:space="preserve"> Typhimurium (STM) </w:t>
                      </w:r>
                      <w:bookmarkStart w:id="4" w:name="_Hlk83899768"/>
                      <w:r w:rsidRPr="003C0861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 xml:space="preserve">MLVA 03-17-09-12-523 </w:t>
                      </w:r>
                      <w:bookmarkEnd w:id="4"/>
                    </w:p>
                    <w:p w14:paraId="7C6E45B7" w14:textId="7EB983EF" w:rsidR="00806BA0" w:rsidRPr="00F86D84" w:rsidRDefault="00806BA0" w:rsidP="00115C12">
                      <w:pPr>
                        <w:spacing w:after="120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There has been a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64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 decrease 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in all 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037862" w:rsidRP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almonell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osis</w:t>
                      </w:r>
                      <w:r w:rsidR="00037862" w:rsidRPr="00F86D84">
                        <w:rPr>
                          <w:rFonts w:eastAsia="Calibri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notifications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in </w:t>
                      </w:r>
                      <w:r w:rsidR="000A5E5B">
                        <w:rPr>
                          <w:rFonts w:eastAsia="Calibri" w:cs="Times New Roman"/>
                          <w:sz w:val="20"/>
                          <w:szCs w:val="20"/>
                        </w:rPr>
                        <w:t>3Q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21</w:t>
                      </w:r>
                      <w:r w:rsidR="000A5E5B">
                        <w:rPr>
                          <w:rFonts w:eastAsia="Calibri" w:cs="Times New Roman"/>
                          <w:sz w:val="20"/>
                          <w:szCs w:val="20"/>
                        </w:rPr>
                        <w:t>,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with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142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notifications compared to the </w:t>
                      </w:r>
                      <w:r w:rsidR="00C827CF">
                        <w:rPr>
                          <w:rFonts w:eastAsia="Calibri" w:cs="Times New Roman"/>
                          <w:sz w:val="20"/>
                          <w:szCs w:val="20"/>
                        </w:rPr>
                        <w:t>historical five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-year average of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400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notifications. The most common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serovar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</w:t>
                      </w:r>
                      <w:r w:rsidR="00037862" w:rsidRPr="00F86D84">
                        <w:rPr>
                          <w:rFonts w:eastAsia="Calibri" w:cs="Times New Roman"/>
                          <w:i/>
                          <w:sz w:val="20"/>
                          <w:szCs w:val="20"/>
                        </w:rPr>
                        <w:t>Salmonella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for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Q21 was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STM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There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were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63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notifications in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Q21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, a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6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7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 decrease compared to the </w:t>
                      </w:r>
                      <w:r w:rsidR="00C827CF">
                        <w:rPr>
                          <w:rFonts w:eastAsia="Calibri" w:cs="Times New Roman"/>
                          <w:sz w:val="20"/>
                          <w:szCs w:val="20"/>
                        </w:rPr>
                        <w:t>historical five</w:t>
                      </w:r>
                      <w:r w:rsidR="00C827CF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-year average 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of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190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895399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notifications.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The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M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LVA type 03-17-09-12-523</w:t>
                      </w:r>
                      <w:r w:rsidR="00CE08E0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was the most common in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CE08E0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Q21</w:t>
                      </w:r>
                      <w:r w:rsidR="000A5E5B">
                        <w:rPr>
                          <w:rFonts w:eastAsia="Calibri" w:cs="Times New Roman"/>
                          <w:sz w:val="20"/>
                          <w:szCs w:val="20"/>
                        </w:rPr>
                        <w:t>,</w:t>
                      </w:r>
                      <w:r w:rsidR="00CE08E0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as has been the case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since its emergence in September 2016. </w:t>
                      </w:r>
                    </w:p>
                    <w:p w14:paraId="6105A190" w14:textId="6D1A871E" w:rsidR="00BB48D3" w:rsidRPr="00853B25" w:rsidRDefault="00BB48D3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From September 20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September</w:t>
                      </w:r>
                      <w:r w:rsidR="00046DB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2021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ED719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80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</w:t>
                      </w:r>
                      <w:r w:rsidR="0003653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</w:t>
                      </w:r>
                      <w:r w:rsidR="0003653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03-17-09-12-523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notified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99532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ED719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. This MLVA type constitut</w:t>
                      </w:r>
                      <w:r w:rsidR="00036531">
                        <w:rPr>
                          <w:rFonts w:eastAsia="Calibri" w:cs="Times New Roman"/>
                          <w:sz w:val="20"/>
                          <w:szCs w:val="20"/>
                        </w:rPr>
                        <w:t>ed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F86D84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There w</w:t>
                      </w:r>
                      <w:r w:rsidR="000A5E5B">
                        <w:rPr>
                          <w:rFonts w:eastAsia="Calibri" w:cs="Times New Roman"/>
                          <w:sz w:val="20"/>
                          <w:szCs w:val="20"/>
                        </w:rPr>
                        <w:t>as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one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point-source outbreak of MLVA 03-17-09-12-523 identified in this quarter comprising of 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24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including eight confirmed cases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The majority of these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1A3D8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8</w:t>
                      </w:r>
                      <w:r w:rsidR="00115C12">
                        <w:rPr>
                          <w:rFonts w:eastAsia="Calibri" w:cs="Times New Roman"/>
                          <w:sz w:val="20"/>
                          <w:szCs w:val="20"/>
                        </w:rPr>
                        <w:t>5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</w:t>
                      </w:r>
                      <w:r w:rsidR="0003653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cases 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resided in the Perth metropolitan area. </w:t>
                      </w:r>
                    </w:p>
                    <w:p w14:paraId="3014012F" w14:textId="657ADEA7" w:rsidR="00D050EF" w:rsidRPr="00FC2612" w:rsidRDefault="00115C12" w:rsidP="00F25D18">
                      <w:pPr>
                        <w:jc w:val="center"/>
                      </w:pPr>
                      <w:r w:rsidRPr="00115C12">
                        <w:rPr>
                          <w:noProof/>
                        </w:rPr>
                        <w:drawing>
                          <wp:inline distT="0" distB="0" distL="0" distR="0" wp14:anchorId="5C219237" wp14:editId="0C1C404F">
                            <wp:extent cx="5571744" cy="2618248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8988" cy="2621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06EB2E79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</w:t>
                      </w:r>
                      <w:r w:rsidR="00E4600B">
                        <w:rPr>
                          <w:color w:val="465E9C" w:themeColor="text2"/>
                          <w:sz w:val="20"/>
                        </w:rPr>
                        <w:t xml:space="preserve">, 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 xml:space="preserve">September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>201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>6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to </w:t>
                      </w:r>
                      <w:r w:rsidR="00115C12">
                        <w:rPr>
                          <w:color w:val="465E9C" w:themeColor="text2"/>
                          <w:sz w:val="20"/>
                        </w:rPr>
                        <w:t>September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 xml:space="preserve"> 2021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9CDAE" wp14:editId="1689FE4D">
                <wp:simplePos x="0" y="0"/>
                <wp:positionH relativeFrom="column">
                  <wp:posOffset>40341</wp:posOffset>
                </wp:positionH>
                <wp:positionV relativeFrom="paragraph">
                  <wp:posOffset>2676749</wp:posOffset>
                </wp:positionV>
                <wp:extent cx="6588461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461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11E38A0D" w:rsidR="00E842C2" w:rsidRPr="009E6CD4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9E6CD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Appendix 2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  <w:r w:rsidR="00E06F4B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See link below for d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etails of foodborne outbreaks investigated in Quarter </w:t>
                            </w:r>
                            <w:r w:rsidR="00314181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D16BFE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5170D107" w14:textId="070EB4E0" w:rsidR="00D76BC4" w:rsidRPr="00D76BC4" w:rsidRDefault="00277F8B" w:rsidP="00D76BC4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8" w:history="1">
                              <w:r w:rsidR="00D16BFE"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https://ww2.health.wa.gov.au/-/media/Corp/Documents/Health-for/Infectious-disease/OZfoodnet/Word/WA-OzFoodnet-appendix2-202</w:t>
                              </w:r>
                              <w:bookmarkStart w:id="3" w:name="_GoBack"/>
                              <w:bookmarkEnd w:id="3"/>
                              <w:r w:rsidR="00D16BFE"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D16BFE"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-Q</w:t>
                              </w:r>
                              <w:r w:rsidR="00E06F4B"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D16BFE" w:rsidRPr="00277F8B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.docx</w:t>
                              </w:r>
                            </w:hyperlink>
                          </w:p>
                          <w:p w14:paraId="51A965C4" w14:textId="77777777"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4" type="#_x0000_t202" style="position:absolute;left:0;text-align:left;margin-left:3.2pt;margin-top:210.75pt;width:518.8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" filled="f" stroked="f" strokeweight=".5pt">
                <v:textbox>
                  <w:txbxContent>
                    <w:p w14:paraId="2DC2C766" w14:textId="11E38A0D" w:rsidR="00E842C2" w:rsidRPr="009E6CD4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9E6CD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Appendix 2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</w:t>
                      </w:r>
                      <w:r w:rsidR="00E06F4B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See link below for d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etails of foodborne outbreaks investigated in Quarter </w:t>
                      </w:r>
                      <w:r w:rsidR="00314181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3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="00D16BFE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1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5170D107" w14:textId="070EB4E0" w:rsidR="00D76BC4" w:rsidRPr="00D76BC4" w:rsidRDefault="00277F8B" w:rsidP="00D76BC4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9" w:history="1">
                        <w:r w:rsidR="00D16BFE"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https://ww2.health.wa.gov.au/-/media/Corp/Documents/Health-for/Infectious-disease/OZfoodnet/Word/WA-OzFoodnet-appendix2-202</w:t>
                        </w:r>
                        <w:bookmarkStart w:id="4" w:name="_GoBack"/>
                        <w:bookmarkEnd w:id="4"/>
                        <w:r w:rsidR="00D16BFE"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1</w:t>
                        </w:r>
                        <w:r w:rsidR="00D16BFE"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-Q</w:t>
                        </w:r>
                        <w:r w:rsidR="00E06F4B"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3</w:t>
                        </w:r>
                        <w:r w:rsidR="00D16BFE" w:rsidRPr="00277F8B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.docx</w:t>
                        </w:r>
                      </w:hyperlink>
                    </w:p>
                    <w:p w14:paraId="51A965C4" w14:textId="77777777"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23D531B1" wp14:editId="44E01E27">
            <wp:extent cx="3317001" cy="160486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63" cy="163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7D21AD85" wp14:editId="100ACC9E">
            <wp:extent cx="3233057" cy="1590390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1" cy="1629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4181">
        <w:rPr>
          <w:noProof/>
        </w:rPr>
        <w:drawing>
          <wp:inline distT="0" distB="0" distL="0" distR="0" wp14:anchorId="11B16C2C" wp14:editId="5E8F8C54">
            <wp:extent cx="3877056" cy="982582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6467" cy="99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016186F" w14:textId="77777777" w:rsidR="00810715" w:rsidRDefault="00810715" w:rsidP="00810715">
      <w:pPr>
        <w:ind w:left="-284"/>
        <w:rPr>
          <w:noProof/>
          <w:sz w:val="16"/>
          <w:szCs w:val="16"/>
        </w:rPr>
        <w:sectPr w:rsidR="00810715" w:rsidSect="007B6CD4">
          <w:footerReference w:type="default" r:id="rId2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E05066" w14:textId="2AD195DF" w:rsidR="0018146B" w:rsidRDefault="00810715" w:rsidP="001938A0">
      <w:pPr>
        <w:ind w:left="-284"/>
        <w:rPr>
          <w:noProof/>
          <w:sz w:val="16"/>
          <w:szCs w:val="16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DB853" wp14:editId="2EA43AC1">
                <wp:simplePos x="0" y="0"/>
                <wp:positionH relativeFrom="page">
                  <wp:posOffset>457163</wp:posOffset>
                </wp:positionH>
                <wp:positionV relativeFrom="paragraph">
                  <wp:posOffset>5192</wp:posOffset>
                </wp:positionV>
                <wp:extent cx="6652800" cy="28587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00" cy="2858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CD11" w14:textId="21DFC8B4" w:rsidR="00E26D2C" w:rsidRPr="00037862" w:rsidRDefault="00513CA3" w:rsidP="005D47ED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Yersiniosis</w:t>
                            </w:r>
                          </w:p>
                          <w:p w14:paraId="172E6DDB" w14:textId="00468A79" w:rsidR="003C0861" w:rsidRPr="003C0861" w:rsidRDefault="00D77F80" w:rsidP="00513C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sz w:val="20"/>
                                <w:szCs w:val="20"/>
                              </w:rPr>
                              <w:t xml:space="preserve">There were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seven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 xml:space="preserve"> notifications reported in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>Q21</w:t>
                            </w:r>
                            <w:r w:rsidR="00FB0F6E">
                              <w:rPr>
                                <w:sz w:val="20"/>
                                <w:szCs w:val="20"/>
                              </w:rPr>
                              <w:t>. A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>ll were culture positive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0F6E">
                              <w:rPr>
                                <w:sz w:val="20"/>
                                <w:szCs w:val="20"/>
                              </w:rPr>
                              <w:t xml:space="preserve">among Perth 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>metropolitan residents. There were no point-source outbreaks identified in this reporting period.</w:t>
                            </w:r>
                          </w:p>
                          <w:p w14:paraId="48AE8C6A" w14:textId="46856779" w:rsidR="00513CA3" w:rsidRPr="009E6668" w:rsidRDefault="00E37D8F" w:rsidP="00513C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STEC</w:t>
                            </w:r>
                          </w:p>
                          <w:p w14:paraId="49BFABA8" w14:textId="7533763F" w:rsidR="00E5783F" w:rsidRDefault="00D84465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</w:t>
                            </w:r>
                            <w:r w:rsidR="00B3747F">
                              <w:rPr>
                                <w:sz w:val="20"/>
                                <w:szCs w:val="20"/>
                              </w:rPr>
                              <w:t>elve</w:t>
                            </w:r>
                            <w:r w:rsidR="009E6668" w:rsidRPr="009E6668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E6668" w:rsidRPr="009E666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 xml:space="preserve"> notifications were culture 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AF7D0B">
                              <w:rPr>
                                <w:sz w:val="20"/>
                                <w:szCs w:val="20"/>
                              </w:rPr>
                              <w:t xml:space="preserve"> in 3Q21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43E4C">
                              <w:rPr>
                                <w:sz w:val="20"/>
                                <w:szCs w:val="20"/>
                              </w:rPr>
                              <w:t>Of t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  <w:r w:rsidR="00443E4C">
                              <w:rPr>
                                <w:sz w:val="20"/>
                                <w:szCs w:val="20"/>
                              </w:rPr>
                              <w:t>se,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 xml:space="preserve"> most common serotype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5783F" w:rsidRPr="009E66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F6E">
                              <w:rPr>
                                <w:sz w:val="20"/>
                                <w:szCs w:val="20"/>
                              </w:rPr>
                              <w:t xml:space="preserve">were </w:t>
                            </w:r>
                            <w:r w:rsidR="00E5783F" w:rsidRPr="009E6668">
                              <w:rPr>
                                <w:sz w:val="20"/>
                                <w:szCs w:val="20"/>
                              </w:rPr>
                              <w:t>O157:H7 (n=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5783F" w:rsidRPr="009E66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 and O128:H2 </w:t>
                            </w:r>
                            <w:r w:rsidR="00A0518C" w:rsidRPr="009E6668">
                              <w:rPr>
                                <w:sz w:val="20"/>
                                <w:szCs w:val="20"/>
                              </w:rPr>
                              <w:t>(n=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0518C" w:rsidRPr="009E66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There was </w:t>
                            </w:r>
                            <w:r w:rsidR="00322D2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>cluster investigat</w:t>
                            </w:r>
                            <w:r w:rsidR="00322D20">
                              <w:rPr>
                                <w:sz w:val="20"/>
                                <w:szCs w:val="20"/>
                              </w:rPr>
                              <w:t>ion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 of five cases of STEC living in </w:t>
                            </w:r>
                            <w:r w:rsidR="00FB0F6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Perth </w:t>
                            </w:r>
                            <w:r w:rsidR="00FB0F6E">
                              <w:rPr>
                                <w:sz w:val="20"/>
                                <w:szCs w:val="20"/>
                              </w:rPr>
                              <w:t xml:space="preserve">metropolitan </w:t>
                            </w:r>
                            <w:r w:rsidR="00322D20">
                              <w:rPr>
                                <w:sz w:val="20"/>
                                <w:szCs w:val="20"/>
                              </w:rPr>
                              <w:t xml:space="preserve">region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but whole genome sequencing of isolates </w:t>
                            </w:r>
                            <w:r w:rsidR="00D31202">
                              <w:rPr>
                                <w:sz w:val="20"/>
                                <w:szCs w:val="20"/>
                              </w:rPr>
                              <w:t xml:space="preserve">found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D74EAB">
                              <w:rPr>
                                <w:sz w:val="20"/>
                                <w:szCs w:val="20"/>
                              </w:rPr>
                              <w:t xml:space="preserve">common </w:t>
                            </w:r>
                            <w:r w:rsidR="00A0518C">
                              <w:rPr>
                                <w:sz w:val="20"/>
                                <w:szCs w:val="20"/>
                              </w:rPr>
                              <w:t xml:space="preserve">strains. </w:t>
                            </w:r>
                            <w:r w:rsidR="00B41B1B" w:rsidRPr="00B41B1B">
                              <w:rPr>
                                <w:sz w:val="20"/>
                                <w:szCs w:val="20"/>
                              </w:rPr>
                              <w:t xml:space="preserve">No point-source outbreaks were identified in </w:t>
                            </w:r>
                            <w:r w:rsidR="00322D2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41B1B" w:rsidRPr="00B41B1B">
                              <w:rPr>
                                <w:sz w:val="20"/>
                                <w:szCs w:val="20"/>
                              </w:rPr>
                              <w:t xml:space="preserve">Q21. Some of the increase </w:t>
                            </w:r>
                            <w:r w:rsidR="002B5DBE" w:rsidRPr="002B5DBE">
                              <w:rPr>
                                <w:sz w:val="20"/>
                                <w:szCs w:val="20"/>
                              </w:rPr>
                              <w:t xml:space="preserve">in comparison to the </w:t>
                            </w:r>
                            <w:r w:rsidR="00C827C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historical five</w:t>
                            </w:r>
                            <w:r w:rsidR="00C827CF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-year average </w:t>
                            </w:r>
                            <w:r w:rsidR="00B41B1B" w:rsidRPr="00B41B1B">
                              <w:rPr>
                                <w:sz w:val="20"/>
                                <w:szCs w:val="20"/>
                              </w:rPr>
                              <w:t>is likely due to PCR testing of all faecal specimens by one private laboratory since the fourth quarter of 2018.</w:t>
                            </w:r>
                          </w:p>
                          <w:p w14:paraId="6BA59D4E" w14:textId="77777777" w:rsidR="00A0518C" w:rsidRPr="00A0518C" w:rsidRDefault="00A0518C" w:rsidP="005D47ED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A0518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Rotavirus</w:t>
                            </w:r>
                          </w:p>
                          <w:p w14:paraId="1E721E3D" w14:textId="15D72217" w:rsidR="00ED02A8" w:rsidRDefault="00A0518C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There were 192 notifications </w:t>
                            </w:r>
                            <w:r w:rsidR="00AF7D0B">
                              <w:rPr>
                                <w:sz w:val="20"/>
                                <w:szCs w:val="20"/>
                              </w:rPr>
                              <w:t xml:space="preserve">in 3Q21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compared to the </w:t>
                            </w:r>
                            <w:r w:rsidR="00C827CF">
                              <w:rPr>
                                <w:sz w:val="20"/>
                                <w:szCs w:val="20"/>
                              </w:rPr>
                              <w:t xml:space="preserve">historical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five</w:t>
                            </w:r>
                            <w:r w:rsidR="00C827C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year average of 92 case</w:t>
                            </w:r>
                            <w:r w:rsidR="0003653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The majority (57%) of cases were </w:t>
                            </w:r>
                            <w:r w:rsidR="003D6573">
                              <w:rPr>
                                <w:sz w:val="20"/>
                                <w:szCs w:val="20"/>
                              </w:rPr>
                              <w:t>aged less than five years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Most of the notifications were in the </w:t>
                            </w:r>
                            <w:r w:rsidR="00636D7E">
                              <w:rPr>
                                <w:sz w:val="20"/>
                                <w:szCs w:val="20"/>
                              </w:rPr>
                              <w:t xml:space="preserve">Perth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metropolitan region (n=103)</w:t>
                            </w:r>
                            <w:r w:rsidR="00636D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followed by the Kimberley</w:t>
                            </w:r>
                            <w:r w:rsidR="00636D7E">
                              <w:rPr>
                                <w:sz w:val="20"/>
                                <w:szCs w:val="20"/>
                              </w:rPr>
                              <w:t xml:space="preserve"> region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(n=62). </w:t>
                            </w:r>
                            <w:r w:rsidR="00036531">
                              <w:rPr>
                                <w:sz w:val="20"/>
                                <w:szCs w:val="20"/>
                              </w:rPr>
                              <w:t xml:space="preserve">The increase in notifications began in the Kimberley region and subsequently moved to public health regions further south.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Initial typing results of rotavirus indicates that a new strain </w:t>
                            </w:r>
                            <w:r w:rsidR="00384965">
                              <w:rPr>
                                <w:sz w:val="20"/>
                                <w:szCs w:val="20"/>
                              </w:rPr>
                              <w:t xml:space="preserve">has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emerged in the Kimberley region. </w:t>
                            </w:r>
                          </w:p>
                          <w:p w14:paraId="1AFEBBD7" w14:textId="1D0E752D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left:0;text-align:left;margin-left:36pt;margin-top:.4pt;width:523.85pt;height:225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" fillcolor="#d7dded [671]" stroked="f">
                <v:fill opacity="32896f"/>
                <v:textbox>
                  <w:txbxContent>
                    <w:p w14:paraId="25FCCD11" w14:textId="21DFC8B4" w:rsidR="00E26D2C" w:rsidRPr="00037862" w:rsidRDefault="00513CA3" w:rsidP="005D47ED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3C0861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Yersiniosis</w:t>
                      </w:r>
                    </w:p>
                    <w:p w14:paraId="172E6DDB" w14:textId="00468A79" w:rsidR="003C0861" w:rsidRPr="003C0861" w:rsidRDefault="00D77F80" w:rsidP="00513CA3">
                      <w:pPr>
                        <w:rPr>
                          <w:sz w:val="20"/>
                          <w:szCs w:val="20"/>
                        </w:rPr>
                      </w:pPr>
                      <w:r w:rsidRPr="00F86D84">
                        <w:rPr>
                          <w:sz w:val="20"/>
                          <w:szCs w:val="20"/>
                        </w:rPr>
                        <w:t xml:space="preserve">There were </w:t>
                      </w:r>
                      <w:r w:rsidR="00A0518C">
                        <w:rPr>
                          <w:sz w:val="20"/>
                          <w:szCs w:val="20"/>
                        </w:rPr>
                        <w:t>seven</w:t>
                      </w:r>
                      <w:r w:rsidRPr="00F86D84">
                        <w:rPr>
                          <w:sz w:val="20"/>
                          <w:szCs w:val="20"/>
                        </w:rPr>
                        <w:t xml:space="preserve"> notifications reported in </w:t>
                      </w:r>
                      <w:r w:rsidR="00A0518C">
                        <w:rPr>
                          <w:sz w:val="20"/>
                          <w:szCs w:val="20"/>
                        </w:rPr>
                        <w:t>3</w:t>
                      </w:r>
                      <w:r w:rsidRPr="00F86D84">
                        <w:rPr>
                          <w:sz w:val="20"/>
                          <w:szCs w:val="20"/>
                        </w:rPr>
                        <w:t>Q21</w:t>
                      </w:r>
                      <w:r w:rsidR="00FB0F6E">
                        <w:rPr>
                          <w:sz w:val="20"/>
                          <w:szCs w:val="20"/>
                        </w:rPr>
                        <w:t>. A</w:t>
                      </w:r>
                      <w:r w:rsidRPr="00F86D84">
                        <w:rPr>
                          <w:sz w:val="20"/>
                          <w:szCs w:val="20"/>
                        </w:rPr>
                        <w:t>ll were culture positive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FB0F6E">
                        <w:rPr>
                          <w:sz w:val="20"/>
                          <w:szCs w:val="20"/>
                        </w:rPr>
                        <w:t xml:space="preserve">among Perth </w:t>
                      </w:r>
                      <w:r w:rsidRPr="00F86D84">
                        <w:rPr>
                          <w:sz w:val="20"/>
                          <w:szCs w:val="20"/>
                        </w:rPr>
                        <w:t>metropolitan residents. There were no point-source outbreaks identified in this reporting period.</w:t>
                      </w:r>
                    </w:p>
                    <w:p w14:paraId="48AE8C6A" w14:textId="46856779" w:rsidR="00513CA3" w:rsidRPr="009E6668" w:rsidRDefault="00E37D8F" w:rsidP="00513C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STEC</w:t>
                      </w:r>
                    </w:p>
                    <w:p w14:paraId="49BFABA8" w14:textId="7533763F" w:rsidR="00E5783F" w:rsidRDefault="00D84465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Tw</w:t>
                      </w:r>
                      <w:r w:rsidR="00B3747F">
                        <w:rPr>
                          <w:sz w:val="20"/>
                          <w:szCs w:val="20"/>
                        </w:rPr>
                        <w:t>elve</w:t>
                      </w:r>
                      <w:r w:rsidR="009E6668" w:rsidRPr="009E6668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="00A0518C">
                        <w:rPr>
                          <w:sz w:val="20"/>
                          <w:szCs w:val="20"/>
                        </w:rPr>
                        <w:t>2</w:t>
                      </w:r>
                      <w:r w:rsidR="009E6668" w:rsidRPr="009E6668">
                        <w:rPr>
                          <w:sz w:val="20"/>
                          <w:szCs w:val="20"/>
                        </w:rPr>
                        <w:t>3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 xml:space="preserve"> notifications were culture </w:t>
                      </w:r>
                      <w:r w:rsidR="00E5783F">
                        <w:rPr>
                          <w:sz w:val="20"/>
                          <w:szCs w:val="20"/>
                        </w:rPr>
                        <w:t>positive</w:t>
                      </w:r>
                      <w:r w:rsidR="00AF7D0B">
                        <w:rPr>
                          <w:sz w:val="20"/>
                          <w:szCs w:val="20"/>
                        </w:rPr>
                        <w:t xml:space="preserve"> in 3Q21</w:t>
                      </w:r>
                      <w:r w:rsidR="00E5783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43E4C">
                        <w:rPr>
                          <w:sz w:val="20"/>
                          <w:szCs w:val="20"/>
                        </w:rPr>
                        <w:t>Of t</w:t>
                      </w:r>
                      <w:r w:rsidR="00E5783F">
                        <w:rPr>
                          <w:sz w:val="20"/>
                          <w:szCs w:val="20"/>
                        </w:rPr>
                        <w:t>he</w:t>
                      </w:r>
                      <w:r w:rsidR="00443E4C">
                        <w:rPr>
                          <w:sz w:val="20"/>
                          <w:szCs w:val="20"/>
                        </w:rPr>
                        <w:t>se,</w:t>
                      </w:r>
                      <w:r w:rsidR="00E5783F">
                        <w:rPr>
                          <w:sz w:val="20"/>
                          <w:szCs w:val="20"/>
                        </w:rPr>
                        <w:t xml:space="preserve"> most common serotype</w:t>
                      </w:r>
                      <w:r w:rsidR="00A0518C">
                        <w:rPr>
                          <w:sz w:val="20"/>
                          <w:szCs w:val="20"/>
                        </w:rPr>
                        <w:t>s</w:t>
                      </w:r>
                      <w:r w:rsidR="00E5783F" w:rsidRPr="009E66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0F6E">
                        <w:rPr>
                          <w:sz w:val="20"/>
                          <w:szCs w:val="20"/>
                        </w:rPr>
                        <w:t xml:space="preserve">were </w:t>
                      </w:r>
                      <w:r w:rsidR="00E5783F" w:rsidRPr="009E6668">
                        <w:rPr>
                          <w:sz w:val="20"/>
                          <w:szCs w:val="20"/>
                        </w:rPr>
                        <w:t>O157:H7 (n=</w:t>
                      </w:r>
                      <w:r w:rsidR="00B91FE5">
                        <w:rPr>
                          <w:sz w:val="20"/>
                          <w:szCs w:val="20"/>
                        </w:rPr>
                        <w:t>3</w:t>
                      </w:r>
                      <w:r w:rsidR="00E5783F" w:rsidRPr="009E6668">
                        <w:rPr>
                          <w:sz w:val="20"/>
                          <w:szCs w:val="20"/>
                        </w:rPr>
                        <w:t>)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 and O128:H2 </w:t>
                      </w:r>
                      <w:r w:rsidR="00A0518C" w:rsidRPr="009E6668">
                        <w:rPr>
                          <w:sz w:val="20"/>
                          <w:szCs w:val="20"/>
                        </w:rPr>
                        <w:t>(n=</w:t>
                      </w:r>
                      <w:r w:rsidR="00A0518C">
                        <w:rPr>
                          <w:sz w:val="20"/>
                          <w:szCs w:val="20"/>
                        </w:rPr>
                        <w:t>3</w:t>
                      </w:r>
                      <w:r w:rsidR="00A0518C" w:rsidRPr="009E6668">
                        <w:rPr>
                          <w:sz w:val="20"/>
                          <w:szCs w:val="20"/>
                        </w:rPr>
                        <w:t>)</w:t>
                      </w:r>
                      <w:r w:rsidR="00B91FE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There was </w:t>
                      </w:r>
                      <w:r w:rsidR="00322D20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A0518C">
                        <w:rPr>
                          <w:sz w:val="20"/>
                          <w:szCs w:val="20"/>
                        </w:rPr>
                        <w:t>cluster investigat</w:t>
                      </w:r>
                      <w:r w:rsidR="00322D20">
                        <w:rPr>
                          <w:sz w:val="20"/>
                          <w:szCs w:val="20"/>
                        </w:rPr>
                        <w:t>ion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 of five cases of STEC living in </w:t>
                      </w:r>
                      <w:r w:rsidR="00FB0F6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Perth </w:t>
                      </w:r>
                      <w:r w:rsidR="00FB0F6E">
                        <w:rPr>
                          <w:sz w:val="20"/>
                          <w:szCs w:val="20"/>
                        </w:rPr>
                        <w:t xml:space="preserve">metropolitan </w:t>
                      </w:r>
                      <w:r w:rsidR="00322D20">
                        <w:rPr>
                          <w:sz w:val="20"/>
                          <w:szCs w:val="20"/>
                        </w:rPr>
                        <w:t xml:space="preserve">region 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but whole genome sequencing of isolates </w:t>
                      </w:r>
                      <w:r w:rsidR="00D31202">
                        <w:rPr>
                          <w:sz w:val="20"/>
                          <w:szCs w:val="20"/>
                        </w:rPr>
                        <w:t xml:space="preserve">found 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="00D74EAB">
                        <w:rPr>
                          <w:sz w:val="20"/>
                          <w:szCs w:val="20"/>
                        </w:rPr>
                        <w:t xml:space="preserve">common </w:t>
                      </w:r>
                      <w:r w:rsidR="00A0518C">
                        <w:rPr>
                          <w:sz w:val="20"/>
                          <w:szCs w:val="20"/>
                        </w:rPr>
                        <w:t xml:space="preserve">strains. </w:t>
                      </w:r>
                      <w:r w:rsidR="00B41B1B" w:rsidRPr="00B41B1B">
                        <w:rPr>
                          <w:sz w:val="20"/>
                          <w:szCs w:val="20"/>
                        </w:rPr>
                        <w:t xml:space="preserve">No point-source outbreaks were identified in </w:t>
                      </w:r>
                      <w:r w:rsidR="00322D20">
                        <w:rPr>
                          <w:sz w:val="20"/>
                          <w:szCs w:val="20"/>
                        </w:rPr>
                        <w:t>3</w:t>
                      </w:r>
                      <w:r w:rsidR="00B41B1B" w:rsidRPr="00B41B1B">
                        <w:rPr>
                          <w:sz w:val="20"/>
                          <w:szCs w:val="20"/>
                        </w:rPr>
                        <w:t xml:space="preserve">Q21. Some of the increase </w:t>
                      </w:r>
                      <w:r w:rsidR="002B5DBE" w:rsidRPr="002B5DBE">
                        <w:rPr>
                          <w:sz w:val="20"/>
                          <w:szCs w:val="20"/>
                        </w:rPr>
                        <w:t xml:space="preserve">in comparison to the </w:t>
                      </w:r>
                      <w:r w:rsidR="00C827CF">
                        <w:rPr>
                          <w:rFonts w:eastAsia="Calibri" w:cs="Times New Roman"/>
                          <w:sz w:val="20"/>
                          <w:szCs w:val="20"/>
                        </w:rPr>
                        <w:t>historical five</w:t>
                      </w:r>
                      <w:r w:rsidR="00C827CF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-year average </w:t>
                      </w:r>
                      <w:r w:rsidR="00B41B1B" w:rsidRPr="00B41B1B">
                        <w:rPr>
                          <w:sz w:val="20"/>
                          <w:szCs w:val="20"/>
                        </w:rPr>
                        <w:t>is likely due to PCR testing of all faecal specimens by one private laboratory since the fourth quarter of 2018.</w:t>
                      </w:r>
                    </w:p>
                    <w:p w14:paraId="6BA59D4E" w14:textId="77777777" w:rsidR="00A0518C" w:rsidRPr="00A0518C" w:rsidRDefault="00A0518C" w:rsidP="005D47ED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A0518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Rotavirus</w:t>
                      </w:r>
                    </w:p>
                    <w:p w14:paraId="1E721E3D" w14:textId="15D72217" w:rsidR="00ED02A8" w:rsidRDefault="00A0518C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There were 192 notifications </w:t>
                      </w:r>
                      <w:r w:rsidR="00AF7D0B">
                        <w:rPr>
                          <w:sz w:val="20"/>
                          <w:szCs w:val="20"/>
                        </w:rPr>
                        <w:t xml:space="preserve">in 3Q21 </w:t>
                      </w:r>
                      <w:r>
                        <w:rPr>
                          <w:sz w:val="20"/>
                          <w:szCs w:val="20"/>
                        </w:rPr>
                        <w:t xml:space="preserve">compared to the </w:t>
                      </w:r>
                      <w:r w:rsidR="00C827CF">
                        <w:rPr>
                          <w:sz w:val="20"/>
                          <w:szCs w:val="20"/>
                        </w:rPr>
                        <w:t xml:space="preserve">historical </w:t>
                      </w:r>
                      <w:r>
                        <w:rPr>
                          <w:sz w:val="20"/>
                          <w:szCs w:val="20"/>
                        </w:rPr>
                        <w:t>five</w:t>
                      </w:r>
                      <w:r w:rsidR="00C827CF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year average of 92 case</w:t>
                      </w:r>
                      <w:r w:rsidR="00036531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. The majority (57%) of cases were </w:t>
                      </w:r>
                      <w:r w:rsidR="003D6573">
                        <w:rPr>
                          <w:sz w:val="20"/>
                          <w:szCs w:val="20"/>
                        </w:rPr>
                        <w:t>aged less than five years</w:t>
                      </w:r>
                      <w:r>
                        <w:rPr>
                          <w:sz w:val="20"/>
                          <w:szCs w:val="20"/>
                        </w:rPr>
                        <w:t xml:space="preserve">. Most of the notifications were in the </w:t>
                      </w:r>
                      <w:r w:rsidR="00636D7E">
                        <w:rPr>
                          <w:sz w:val="20"/>
                          <w:szCs w:val="20"/>
                        </w:rPr>
                        <w:t xml:space="preserve">Perth </w:t>
                      </w:r>
                      <w:r>
                        <w:rPr>
                          <w:sz w:val="20"/>
                          <w:szCs w:val="20"/>
                        </w:rPr>
                        <w:t>metropolitan region (n=103)</w:t>
                      </w:r>
                      <w:r w:rsidR="00636D7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followed by the Kimberley</w:t>
                      </w:r>
                      <w:r w:rsidR="00636D7E">
                        <w:rPr>
                          <w:sz w:val="20"/>
                          <w:szCs w:val="20"/>
                        </w:rPr>
                        <w:t xml:space="preserve"> region</w:t>
                      </w:r>
                      <w:r>
                        <w:rPr>
                          <w:sz w:val="20"/>
                          <w:szCs w:val="20"/>
                        </w:rPr>
                        <w:t xml:space="preserve"> (n=62). </w:t>
                      </w:r>
                      <w:r w:rsidR="00036531">
                        <w:rPr>
                          <w:sz w:val="20"/>
                          <w:szCs w:val="20"/>
                        </w:rPr>
                        <w:t xml:space="preserve">The increase in notifications began in the Kimberley region and subsequently moved to public health regions further south. </w:t>
                      </w:r>
                      <w:r>
                        <w:rPr>
                          <w:sz w:val="20"/>
                          <w:szCs w:val="20"/>
                        </w:rPr>
                        <w:t xml:space="preserve">Initial typing results of rotavirus indicates that a new strain </w:t>
                      </w:r>
                      <w:r w:rsidR="00384965">
                        <w:rPr>
                          <w:sz w:val="20"/>
                          <w:szCs w:val="20"/>
                        </w:rPr>
                        <w:t xml:space="preserve">has </w:t>
                      </w:r>
                      <w:r>
                        <w:rPr>
                          <w:sz w:val="20"/>
                          <w:szCs w:val="20"/>
                        </w:rPr>
                        <w:t xml:space="preserve">emerged in the Kimberley region. </w:t>
                      </w:r>
                    </w:p>
                    <w:p w14:paraId="1AFEBBD7" w14:textId="1D0E752D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E4896" w14:textId="77777777" w:rsidR="0018146B" w:rsidRPr="00B44201" w:rsidRDefault="0018146B" w:rsidP="00B44201">
      <w:pPr>
        <w:rPr>
          <w:sz w:val="16"/>
          <w:szCs w:val="16"/>
        </w:rPr>
      </w:pPr>
    </w:p>
    <w:p w14:paraId="63C17B74" w14:textId="77777777" w:rsidR="0018146B" w:rsidRPr="00B44201" w:rsidRDefault="0018146B" w:rsidP="00B44201">
      <w:pPr>
        <w:rPr>
          <w:sz w:val="16"/>
          <w:szCs w:val="16"/>
        </w:rPr>
      </w:pPr>
    </w:p>
    <w:p w14:paraId="65ECBFB6" w14:textId="77777777" w:rsidR="0018146B" w:rsidRPr="00B44201" w:rsidRDefault="0018146B" w:rsidP="00B44201">
      <w:pPr>
        <w:rPr>
          <w:sz w:val="16"/>
          <w:szCs w:val="16"/>
        </w:rPr>
      </w:pPr>
    </w:p>
    <w:p w14:paraId="3F3AF78E" w14:textId="77777777" w:rsidR="0018146B" w:rsidRPr="00B44201" w:rsidRDefault="0018146B" w:rsidP="00B44201">
      <w:pPr>
        <w:rPr>
          <w:sz w:val="16"/>
          <w:szCs w:val="16"/>
        </w:rPr>
      </w:pPr>
    </w:p>
    <w:p w14:paraId="7CA023D2" w14:textId="77777777" w:rsidR="0018146B" w:rsidRPr="00B44201" w:rsidRDefault="0018146B" w:rsidP="00B44201">
      <w:pPr>
        <w:rPr>
          <w:sz w:val="16"/>
          <w:szCs w:val="16"/>
        </w:rPr>
      </w:pPr>
    </w:p>
    <w:p w14:paraId="432897DA" w14:textId="77777777" w:rsidR="0018146B" w:rsidRPr="00B44201" w:rsidRDefault="0018146B" w:rsidP="00B44201">
      <w:pPr>
        <w:rPr>
          <w:sz w:val="16"/>
          <w:szCs w:val="16"/>
        </w:rPr>
      </w:pPr>
    </w:p>
    <w:p w14:paraId="152E07C9" w14:textId="77777777" w:rsidR="0018146B" w:rsidRPr="00B44201" w:rsidRDefault="0018146B" w:rsidP="00B44201">
      <w:pPr>
        <w:rPr>
          <w:sz w:val="16"/>
          <w:szCs w:val="16"/>
        </w:rPr>
      </w:pPr>
    </w:p>
    <w:p w14:paraId="29D54690" w14:textId="77777777" w:rsidR="0018146B" w:rsidRPr="00B44201" w:rsidRDefault="0018146B" w:rsidP="00B44201">
      <w:pPr>
        <w:rPr>
          <w:sz w:val="16"/>
          <w:szCs w:val="16"/>
        </w:rPr>
      </w:pPr>
    </w:p>
    <w:p w14:paraId="14E33134" w14:textId="77777777" w:rsidR="0018146B" w:rsidRPr="00B44201" w:rsidRDefault="0018146B" w:rsidP="00B44201">
      <w:pPr>
        <w:rPr>
          <w:sz w:val="16"/>
          <w:szCs w:val="16"/>
        </w:rPr>
      </w:pPr>
    </w:p>
    <w:p w14:paraId="2E84132A" w14:textId="77777777" w:rsidR="0018146B" w:rsidRPr="00B44201" w:rsidRDefault="0018146B" w:rsidP="00B44201">
      <w:pPr>
        <w:rPr>
          <w:sz w:val="16"/>
          <w:szCs w:val="16"/>
        </w:rPr>
      </w:pPr>
    </w:p>
    <w:p w14:paraId="7B4E82FF" w14:textId="77777777" w:rsidR="0018146B" w:rsidRPr="00B44201" w:rsidRDefault="0018146B" w:rsidP="00B44201">
      <w:pPr>
        <w:rPr>
          <w:sz w:val="16"/>
          <w:szCs w:val="16"/>
        </w:rPr>
      </w:pPr>
    </w:p>
    <w:p w14:paraId="456F4961" w14:textId="0E045C50" w:rsidR="0018146B" w:rsidRDefault="0018146B" w:rsidP="0018146B">
      <w:pPr>
        <w:rPr>
          <w:sz w:val="16"/>
          <w:szCs w:val="16"/>
        </w:rPr>
      </w:pPr>
    </w:p>
    <w:p w14:paraId="58561D49" w14:textId="74E0BC65" w:rsidR="0018146B" w:rsidRDefault="0018146B" w:rsidP="0018146B">
      <w:pPr>
        <w:rPr>
          <w:sz w:val="16"/>
          <w:szCs w:val="16"/>
        </w:rPr>
      </w:pPr>
    </w:p>
    <w:p w14:paraId="5CFE8EC2" w14:textId="7E187BB2" w:rsidR="005D47ED" w:rsidRPr="00DB0727" w:rsidRDefault="0018146B" w:rsidP="00B44201">
      <w:pPr>
        <w:ind w:left="-284"/>
        <w:jc w:val="center"/>
      </w:pPr>
      <w:r>
        <w:rPr>
          <w:sz w:val="16"/>
          <w:szCs w:val="16"/>
        </w:rPr>
        <w:tab/>
      </w:r>
    </w:p>
    <w:sectPr w:rsidR="005D47ED" w:rsidRPr="00DB0727" w:rsidSect="00314181">
      <w:footerReference w:type="default" r:id="rId24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FC49" w14:textId="77777777" w:rsidR="00026459" w:rsidRDefault="00026459" w:rsidP="00F16266">
      <w:pPr>
        <w:spacing w:after="0"/>
      </w:pPr>
      <w:r>
        <w:separator/>
      </w:r>
    </w:p>
  </w:endnote>
  <w:endnote w:type="continuationSeparator" w:id="0">
    <w:p w14:paraId="38E594C1" w14:textId="77777777" w:rsidR="00026459" w:rsidRDefault="00026459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107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B594E" w14:textId="77777777" w:rsidR="00810715" w:rsidRDefault="008107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DEB2A" w14:textId="77777777" w:rsidR="00810715" w:rsidRDefault="00810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12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ACA17" w14:textId="2D6C6F13" w:rsidR="00FB1536" w:rsidRDefault="00FB15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44096" w14:textId="77777777" w:rsidR="0017202E" w:rsidRDefault="00172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D2BD" w14:textId="77777777" w:rsidR="00026459" w:rsidRDefault="00026459" w:rsidP="00F16266">
      <w:pPr>
        <w:spacing w:after="0"/>
      </w:pPr>
      <w:r>
        <w:separator/>
      </w:r>
    </w:p>
  </w:footnote>
  <w:footnote w:type="continuationSeparator" w:id="0">
    <w:p w14:paraId="254D6200" w14:textId="77777777" w:rsidR="00026459" w:rsidRDefault="00026459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0"/>
    <w:rsid w:val="00000D44"/>
    <w:rsid w:val="000027FF"/>
    <w:rsid w:val="00002E4E"/>
    <w:rsid w:val="000102D1"/>
    <w:rsid w:val="00026459"/>
    <w:rsid w:val="00036531"/>
    <w:rsid w:val="00037862"/>
    <w:rsid w:val="00046DB2"/>
    <w:rsid w:val="00066D2F"/>
    <w:rsid w:val="00070BEF"/>
    <w:rsid w:val="00084148"/>
    <w:rsid w:val="00090F48"/>
    <w:rsid w:val="0009316F"/>
    <w:rsid w:val="000A14BB"/>
    <w:rsid w:val="000A5E5B"/>
    <w:rsid w:val="000D2CB1"/>
    <w:rsid w:val="000F10E8"/>
    <w:rsid w:val="000F67C2"/>
    <w:rsid w:val="00115C12"/>
    <w:rsid w:val="0012565F"/>
    <w:rsid w:val="00125DC1"/>
    <w:rsid w:val="0014114D"/>
    <w:rsid w:val="001437E0"/>
    <w:rsid w:val="00143F9C"/>
    <w:rsid w:val="00145A4C"/>
    <w:rsid w:val="0014646C"/>
    <w:rsid w:val="00171B7B"/>
    <w:rsid w:val="00171EAF"/>
    <w:rsid w:val="0017202E"/>
    <w:rsid w:val="0018146B"/>
    <w:rsid w:val="00193081"/>
    <w:rsid w:val="001938A0"/>
    <w:rsid w:val="001A3D87"/>
    <w:rsid w:val="001B6B95"/>
    <w:rsid w:val="001B7A2B"/>
    <w:rsid w:val="001C6153"/>
    <w:rsid w:val="001C7D1F"/>
    <w:rsid w:val="001D1F8B"/>
    <w:rsid w:val="001E1034"/>
    <w:rsid w:val="001F6030"/>
    <w:rsid w:val="001F68E9"/>
    <w:rsid w:val="0021467D"/>
    <w:rsid w:val="00220E8F"/>
    <w:rsid w:val="002255D7"/>
    <w:rsid w:val="00230C04"/>
    <w:rsid w:val="00240211"/>
    <w:rsid w:val="0024249E"/>
    <w:rsid w:val="00243C14"/>
    <w:rsid w:val="00244660"/>
    <w:rsid w:val="002509E8"/>
    <w:rsid w:val="00253C44"/>
    <w:rsid w:val="00256108"/>
    <w:rsid w:val="00261678"/>
    <w:rsid w:val="00264633"/>
    <w:rsid w:val="0027684F"/>
    <w:rsid w:val="00276AC9"/>
    <w:rsid w:val="00277F8B"/>
    <w:rsid w:val="002848B3"/>
    <w:rsid w:val="002856CA"/>
    <w:rsid w:val="00286B46"/>
    <w:rsid w:val="002A1586"/>
    <w:rsid w:val="002B5DBE"/>
    <w:rsid w:val="002B6AC3"/>
    <w:rsid w:val="002C41C4"/>
    <w:rsid w:val="002C7D7D"/>
    <w:rsid w:val="002D5423"/>
    <w:rsid w:val="002E49F5"/>
    <w:rsid w:val="002F24A7"/>
    <w:rsid w:val="00311381"/>
    <w:rsid w:val="00311B5E"/>
    <w:rsid w:val="00314181"/>
    <w:rsid w:val="00316213"/>
    <w:rsid w:val="00322D20"/>
    <w:rsid w:val="003352B9"/>
    <w:rsid w:val="00336175"/>
    <w:rsid w:val="00354790"/>
    <w:rsid w:val="00355004"/>
    <w:rsid w:val="00380645"/>
    <w:rsid w:val="00384965"/>
    <w:rsid w:val="00391EB3"/>
    <w:rsid w:val="003929E7"/>
    <w:rsid w:val="003C0861"/>
    <w:rsid w:val="003C1946"/>
    <w:rsid w:val="003D2322"/>
    <w:rsid w:val="003D354C"/>
    <w:rsid w:val="003D6573"/>
    <w:rsid w:val="003E0DA6"/>
    <w:rsid w:val="003F2A5C"/>
    <w:rsid w:val="004020C7"/>
    <w:rsid w:val="0041266A"/>
    <w:rsid w:val="004175D4"/>
    <w:rsid w:val="004230AE"/>
    <w:rsid w:val="004242C1"/>
    <w:rsid w:val="004276EA"/>
    <w:rsid w:val="0044132B"/>
    <w:rsid w:val="00443E4C"/>
    <w:rsid w:val="004453BF"/>
    <w:rsid w:val="00447A73"/>
    <w:rsid w:val="004659B0"/>
    <w:rsid w:val="00466DB9"/>
    <w:rsid w:val="00471692"/>
    <w:rsid w:val="004852DB"/>
    <w:rsid w:val="00490481"/>
    <w:rsid w:val="00492250"/>
    <w:rsid w:val="00493FBA"/>
    <w:rsid w:val="004A609E"/>
    <w:rsid w:val="004C104B"/>
    <w:rsid w:val="004C2780"/>
    <w:rsid w:val="004C6976"/>
    <w:rsid w:val="004D0283"/>
    <w:rsid w:val="004E3D49"/>
    <w:rsid w:val="00507189"/>
    <w:rsid w:val="005077EF"/>
    <w:rsid w:val="00513CA3"/>
    <w:rsid w:val="00516C9B"/>
    <w:rsid w:val="00521DB6"/>
    <w:rsid w:val="00554DF8"/>
    <w:rsid w:val="0055717E"/>
    <w:rsid w:val="0056716B"/>
    <w:rsid w:val="00585A26"/>
    <w:rsid w:val="00593DE2"/>
    <w:rsid w:val="00594333"/>
    <w:rsid w:val="005A3015"/>
    <w:rsid w:val="005A409E"/>
    <w:rsid w:val="005B05CB"/>
    <w:rsid w:val="005C085E"/>
    <w:rsid w:val="005D00F4"/>
    <w:rsid w:val="005D47ED"/>
    <w:rsid w:val="005F7A57"/>
    <w:rsid w:val="00600F2C"/>
    <w:rsid w:val="00601483"/>
    <w:rsid w:val="0061606C"/>
    <w:rsid w:val="0061794E"/>
    <w:rsid w:val="00627EBE"/>
    <w:rsid w:val="00630370"/>
    <w:rsid w:val="0063064D"/>
    <w:rsid w:val="00636D7E"/>
    <w:rsid w:val="0064090A"/>
    <w:rsid w:val="006414C7"/>
    <w:rsid w:val="00641DA6"/>
    <w:rsid w:val="006441F7"/>
    <w:rsid w:val="0064799B"/>
    <w:rsid w:val="0066016D"/>
    <w:rsid w:val="00676B0F"/>
    <w:rsid w:val="0069342F"/>
    <w:rsid w:val="006B4A87"/>
    <w:rsid w:val="006C1422"/>
    <w:rsid w:val="006D2195"/>
    <w:rsid w:val="006E46C4"/>
    <w:rsid w:val="006F36F0"/>
    <w:rsid w:val="006F52D0"/>
    <w:rsid w:val="00712477"/>
    <w:rsid w:val="00732A7B"/>
    <w:rsid w:val="0073680C"/>
    <w:rsid w:val="007548BA"/>
    <w:rsid w:val="00760107"/>
    <w:rsid w:val="0077027C"/>
    <w:rsid w:val="00784309"/>
    <w:rsid w:val="007A4E48"/>
    <w:rsid w:val="007B47D8"/>
    <w:rsid w:val="007C2F8B"/>
    <w:rsid w:val="007D7512"/>
    <w:rsid w:val="007D793C"/>
    <w:rsid w:val="007E1AD5"/>
    <w:rsid w:val="007E5500"/>
    <w:rsid w:val="007F410D"/>
    <w:rsid w:val="007F61F7"/>
    <w:rsid w:val="00801158"/>
    <w:rsid w:val="00802EC3"/>
    <w:rsid w:val="00806BA0"/>
    <w:rsid w:val="00810715"/>
    <w:rsid w:val="00827C96"/>
    <w:rsid w:val="00841EA3"/>
    <w:rsid w:val="008449C2"/>
    <w:rsid w:val="00851C6F"/>
    <w:rsid w:val="00853B25"/>
    <w:rsid w:val="00864175"/>
    <w:rsid w:val="00864F86"/>
    <w:rsid w:val="0087065F"/>
    <w:rsid w:val="00881846"/>
    <w:rsid w:val="00881BE7"/>
    <w:rsid w:val="00895399"/>
    <w:rsid w:val="008975CB"/>
    <w:rsid w:val="00897837"/>
    <w:rsid w:val="008979F5"/>
    <w:rsid w:val="008A1656"/>
    <w:rsid w:val="008A6058"/>
    <w:rsid w:val="008B0432"/>
    <w:rsid w:val="008C56B7"/>
    <w:rsid w:val="008D2F70"/>
    <w:rsid w:val="008E520E"/>
    <w:rsid w:val="008F7FE4"/>
    <w:rsid w:val="0090046F"/>
    <w:rsid w:val="0090693F"/>
    <w:rsid w:val="0090784E"/>
    <w:rsid w:val="0091650F"/>
    <w:rsid w:val="00923EA3"/>
    <w:rsid w:val="00926467"/>
    <w:rsid w:val="00930DF8"/>
    <w:rsid w:val="00931BD5"/>
    <w:rsid w:val="009342F3"/>
    <w:rsid w:val="009371BC"/>
    <w:rsid w:val="00937EBD"/>
    <w:rsid w:val="009427A6"/>
    <w:rsid w:val="00942C9D"/>
    <w:rsid w:val="009547C7"/>
    <w:rsid w:val="00956876"/>
    <w:rsid w:val="009570F6"/>
    <w:rsid w:val="009668ED"/>
    <w:rsid w:val="00967444"/>
    <w:rsid w:val="009678CC"/>
    <w:rsid w:val="0097222E"/>
    <w:rsid w:val="00981DA1"/>
    <w:rsid w:val="009834E4"/>
    <w:rsid w:val="00984F8D"/>
    <w:rsid w:val="00987271"/>
    <w:rsid w:val="00990D6C"/>
    <w:rsid w:val="00995323"/>
    <w:rsid w:val="00996829"/>
    <w:rsid w:val="009A7D15"/>
    <w:rsid w:val="009B36C8"/>
    <w:rsid w:val="009C0445"/>
    <w:rsid w:val="009C4DAD"/>
    <w:rsid w:val="009C4DFF"/>
    <w:rsid w:val="009D1723"/>
    <w:rsid w:val="009E025F"/>
    <w:rsid w:val="009E5B63"/>
    <w:rsid w:val="009E6668"/>
    <w:rsid w:val="009E6CD4"/>
    <w:rsid w:val="009F648B"/>
    <w:rsid w:val="00A0518C"/>
    <w:rsid w:val="00A155BC"/>
    <w:rsid w:val="00A45954"/>
    <w:rsid w:val="00A5179C"/>
    <w:rsid w:val="00A54379"/>
    <w:rsid w:val="00A55B71"/>
    <w:rsid w:val="00A6066D"/>
    <w:rsid w:val="00A62FAC"/>
    <w:rsid w:val="00A66CB6"/>
    <w:rsid w:val="00A85810"/>
    <w:rsid w:val="00A868F6"/>
    <w:rsid w:val="00A91C4C"/>
    <w:rsid w:val="00AA22A0"/>
    <w:rsid w:val="00AA663C"/>
    <w:rsid w:val="00AB4670"/>
    <w:rsid w:val="00AC2225"/>
    <w:rsid w:val="00AD53B6"/>
    <w:rsid w:val="00AF1960"/>
    <w:rsid w:val="00AF5B58"/>
    <w:rsid w:val="00AF60F4"/>
    <w:rsid w:val="00AF7D0B"/>
    <w:rsid w:val="00B0277F"/>
    <w:rsid w:val="00B04133"/>
    <w:rsid w:val="00B044C2"/>
    <w:rsid w:val="00B15A8E"/>
    <w:rsid w:val="00B210C4"/>
    <w:rsid w:val="00B266CE"/>
    <w:rsid w:val="00B35461"/>
    <w:rsid w:val="00B363C0"/>
    <w:rsid w:val="00B3747F"/>
    <w:rsid w:val="00B41B1B"/>
    <w:rsid w:val="00B44201"/>
    <w:rsid w:val="00B533A7"/>
    <w:rsid w:val="00B62E68"/>
    <w:rsid w:val="00B81B87"/>
    <w:rsid w:val="00B81E7C"/>
    <w:rsid w:val="00B822B0"/>
    <w:rsid w:val="00B85270"/>
    <w:rsid w:val="00B857EA"/>
    <w:rsid w:val="00B870A9"/>
    <w:rsid w:val="00B90697"/>
    <w:rsid w:val="00B91FE5"/>
    <w:rsid w:val="00BB2332"/>
    <w:rsid w:val="00BB48D3"/>
    <w:rsid w:val="00BB5682"/>
    <w:rsid w:val="00BD1F56"/>
    <w:rsid w:val="00BD41EB"/>
    <w:rsid w:val="00BE0A47"/>
    <w:rsid w:val="00BE1F4C"/>
    <w:rsid w:val="00BE3C2D"/>
    <w:rsid w:val="00BE45C1"/>
    <w:rsid w:val="00BE50E9"/>
    <w:rsid w:val="00BF4F31"/>
    <w:rsid w:val="00BF53EC"/>
    <w:rsid w:val="00C3024C"/>
    <w:rsid w:val="00C37046"/>
    <w:rsid w:val="00C37C4B"/>
    <w:rsid w:val="00C47BA2"/>
    <w:rsid w:val="00C53645"/>
    <w:rsid w:val="00C53A97"/>
    <w:rsid w:val="00C6252C"/>
    <w:rsid w:val="00C7143D"/>
    <w:rsid w:val="00C827CF"/>
    <w:rsid w:val="00C82811"/>
    <w:rsid w:val="00C862D8"/>
    <w:rsid w:val="00C94695"/>
    <w:rsid w:val="00C95233"/>
    <w:rsid w:val="00CB38DB"/>
    <w:rsid w:val="00CC5319"/>
    <w:rsid w:val="00CE08E0"/>
    <w:rsid w:val="00CF64E2"/>
    <w:rsid w:val="00CF66CE"/>
    <w:rsid w:val="00D034A9"/>
    <w:rsid w:val="00D03951"/>
    <w:rsid w:val="00D050EF"/>
    <w:rsid w:val="00D147D4"/>
    <w:rsid w:val="00D16BFE"/>
    <w:rsid w:val="00D173B1"/>
    <w:rsid w:val="00D271BA"/>
    <w:rsid w:val="00D31202"/>
    <w:rsid w:val="00D324DD"/>
    <w:rsid w:val="00D514D4"/>
    <w:rsid w:val="00D541FB"/>
    <w:rsid w:val="00D54D2E"/>
    <w:rsid w:val="00D723C4"/>
    <w:rsid w:val="00D74EAB"/>
    <w:rsid w:val="00D76BC4"/>
    <w:rsid w:val="00D77F80"/>
    <w:rsid w:val="00D80763"/>
    <w:rsid w:val="00D84465"/>
    <w:rsid w:val="00D90AC2"/>
    <w:rsid w:val="00D92EE3"/>
    <w:rsid w:val="00D9301F"/>
    <w:rsid w:val="00DB0727"/>
    <w:rsid w:val="00DC7646"/>
    <w:rsid w:val="00DE4BFE"/>
    <w:rsid w:val="00DE579B"/>
    <w:rsid w:val="00DE7A17"/>
    <w:rsid w:val="00DF58A4"/>
    <w:rsid w:val="00E065B7"/>
    <w:rsid w:val="00E06F4B"/>
    <w:rsid w:val="00E15960"/>
    <w:rsid w:val="00E202ED"/>
    <w:rsid w:val="00E26BEA"/>
    <w:rsid w:val="00E26D2C"/>
    <w:rsid w:val="00E34B23"/>
    <w:rsid w:val="00E37D8F"/>
    <w:rsid w:val="00E40563"/>
    <w:rsid w:val="00E4600B"/>
    <w:rsid w:val="00E47483"/>
    <w:rsid w:val="00E54A8C"/>
    <w:rsid w:val="00E5783F"/>
    <w:rsid w:val="00E60B40"/>
    <w:rsid w:val="00E6291F"/>
    <w:rsid w:val="00E705C8"/>
    <w:rsid w:val="00E7296E"/>
    <w:rsid w:val="00E82708"/>
    <w:rsid w:val="00E842C2"/>
    <w:rsid w:val="00E8491C"/>
    <w:rsid w:val="00EA48B7"/>
    <w:rsid w:val="00EB6ED6"/>
    <w:rsid w:val="00ED02A8"/>
    <w:rsid w:val="00ED5CC5"/>
    <w:rsid w:val="00ED7191"/>
    <w:rsid w:val="00EE1546"/>
    <w:rsid w:val="00EE383C"/>
    <w:rsid w:val="00EE6970"/>
    <w:rsid w:val="00EE6AEC"/>
    <w:rsid w:val="00EF7E25"/>
    <w:rsid w:val="00F056D0"/>
    <w:rsid w:val="00F11E7B"/>
    <w:rsid w:val="00F129DF"/>
    <w:rsid w:val="00F15915"/>
    <w:rsid w:val="00F16266"/>
    <w:rsid w:val="00F25D18"/>
    <w:rsid w:val="00F51AF5"/>
    <w:rsid w:val="00F53A4E"/>
    <w:rsid w:val="00F67E7B"/>
    <w:rsid w:val="00F74C27"/>
    <w:rsid w:val="00F770DD"/>
    <w:rsid w:val="00F86D84"/>
    <w:rsid w:val="00F97B72"/>
    <w:rsid w:val="00FB0F6E"/>
    <w:rsid w:val="00FB1467"/>
    <w:rsid w:val="00FB1536"/>
    <w:rsid w:val="00FB1A19"/>
    <w:rsid w:val="00FB2D91"/>
    <w:rsid w:val="00FB7719"/>
    <w:rsid w:val="00FB777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FE6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wmf"/><Relationship Id="rId18" Type="http://schemas.openxmlformats.org/officeDocument/2006/relationships/hyperlink" Target="https://ww2.health.wa.gov.au/-/media/Corp/Documents/Health-for/Infectious-disease/OZfoodnet/Word/WA-OzFoodnet-appendix2-2021-Q3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5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2.health.wa.gov.au/-/media/Corp/Documents/Health-for/Infectious-disease/OZfoodnet/Word/WA-OzFoodnet-appendix1-2021-Q3.docx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hyperlink" Target="https://ww2.health.wa.gov.au/-/media/Corp/Documents/Health-for/Infectious-disease/OZfoodnet/Word/WA-OzFoodnet-appendix2-2021-Q3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2.health.wa.gov.au/-/media/Corp/Documents/Health-for/Infectious-disease/OZfoodnet/Word/WA-OzFoodnet-appendix1-2021-Q3.docx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50E1-7F01-4C6B-8C71-CEAEF584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Crouch, Johnny</cp:lastModifiedBy>
  <cp:revision>2</cp:revision>
  <dcterms:created xsi:type="dcterms:W3CDTF">2022-04-26T08:37:00Z</dcterms:created>
  <dcterms:modified xsi:type="dcterms:W3CDTF">2022-04-26T08:37:00Z</dcterms:modified>
</cp:coreProperties>
</file>