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FB57" w14:textId="2A71C324" w:rsidR="008B0432" w:rsidRDefault="008B0432" w:rsidP="001F6030">
      <w:pPr>
        <w:rPr>
          <w:noProof/>
        </w:rPr>
      </w:pPr>
    </w:p>
    <w:p w14:paraId="2F7A1AD6" w14:textId="4D9F7FD8" w:rsidR="00F16266" w:rsidRDefault="00316213" w:rsidP="001F603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28A9CD" wp14:editId="4B8A78D4">
                <wp:simplePos x="0" y="0"/>
                <wp:positionH relativeFrom="column">
                  <wp:posOffset>-561975</wp:posOffset>
                </wp:positionH>
                <wp:positionV relativeFrom="paragraph">
                  <wp:posOffset>202565</wp:posOffset>
                </wp:positionV>
                <wp:extent cx="6867525" cy="10953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095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CD26" w14:textId="131EF65E" w:rsidR="00D050EF" w:rsidRPr="00D034A9" w:rsidRDefault="0092646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This report describes enteric disease surveillance and investigations carried out during the </w:t>
                            </w:r>
                            <w:r w:rsidR="00C53A97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third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quarter of 20</w:t>
                            </w:r>
                            <w:r w:rsidR="00BF4F31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173B1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53A97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D050EF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Q</w:t>
                            </w:r>
                            <w:r w:rsidR="00BF4F31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050EF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by OzFoodNet WA in conjunction with other Western Australian Department of Health agencies and local governments.</w:t>
                            </w:r>
                            <w:r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68F0A4" w14:textId="2F8BC3C5" w:rsidR="006F36F0" w:rsidRPr="00D034A9" w:rsidRDefault="00926467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>Some of the increase in notifications is likely to be due to the introduction of polymerase chain reaction (PCR) testing of faecal specimens which has greater sensitivity than culture techniques</w:t>
                            </w:r>
                            <w:r w:rsidR="00E1596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while some of the decrease in notifications in 3Q20 is due to the ongoing travel restrictions due to COVID-19.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8A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5pt;margin-top:15.95pt;width:540.75pt;height:86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" fillcolor="#d7dded [671]" stroked="f">
                <v:textbox>
                  <w:txbxContent>
                    <w:p w14:paraId="0D36CD26" w14:textId="131EF65E" w:rsidR="00D050EF" w:rsidRPr="00D034A9" w:rsidRDefault="0092646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This report describes enteric disease surveillance and investigations carried out during the </w:t>
                      </w:r>
                      <w:r w:rsidR="00C53A97">
                        <w:rPr>
                          <w:rFonts w:eastAsia="Calibri" w:cs="Arial"/>
                          <w:sz w:val="20"/>
                          <w:szCs w:val="20"/>
                        </w:rPr>
                        <w:t>third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quarter of 20</w:t>
                      </w:r>
                      <w:r w:rsidR="00BF4F31">
                        <w:rPr>
                          <w:rFonts w:eastAsia="Calibri" w:cs="Arial"/>
                          <w:sz w:val="20"/>
                          <w:szCs w:val="20"/>
                        </w:rPr>
                        <w:t>20</w:t>
                      </w:r>
                      <w:r w:rsidR="00D173B1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(</w:t>
                      </w:r>
                      <w:r w:rsidR="00C53A97">
                        <w:rPr>
                          <w:rFonts w:eastAsia="Calibri" w:cs="Arial"/>
                          <w:sz w:val="20"/>
                          <w:szCs w:val="20"/>
                        </w:rPr>
                        <w:t>3</w:t>
                      </w:r>
                      <w:r w:rsidR="00D050EF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Q</w:t>
                      </w:r>
                      <w:r w:rsidR="00BF4F31">
                        <w:rPr>
                          <w:rFonts w:eastAsia="Calibri" w:cs="Arial"/>
                          <w:sz w:val="20"/>
                          <w:szCs w:val="20"/>
                        </w:rPr>
                        <w:t>20</w:t>
                      </w:r>
                      <w:r w:rsidR="00D050EF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)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by OzFoodNet WA in conjunction with other Western Australian Department of Health agencies and local governments.</w:t>
                      </w:r>
                      <w:r w:rsidRPr="00D034A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68F0A4" w14:textId="2F8BC3C5" w:rsidR="006F36F0" w:rsidRPr="00D034A9" w:rsidRDefault="00926467">
                      <w:pPr>
                        <w:rPr>
                          <w:rFonts w:cs="Arial"/>
                          <w:szCs w:val="24"/>
                        </w:rPr>
                      </w:pPr>
                      <w:r w:rsidRPr="00D034A9">
                        <w:rPr>
                          <w:rFonts w:cs="Arial"/>
                          <w:sz w:val="20"/>
                          <w:szCs w:val="20"/>
                        </w:rPr>
                        <w:t>Some of the increase in notifications is likely to be due to the introduction of polymerase chain reaction (PCR) testing of faecal specimens which has greater sensitivity than culture techniques</w:t>
                      </w:r>
                      <w:r w:rsidR="00E15960">
                        <w:rPr>
                          <w:rFonts w:cs="Arial"/>
                          <w:sz w:val="20"/>
                          <w:szCs w:val="20"/>
                        </w:rPr>
                        <w:t xml:space="preserve"> while some of the decrease in notifications in 3Q20 is due to the ongoing travel restrictions due to COVID-19.</w:t>
                      </w:r>
                    </w:p>
                  </w:txbxContent>
                </v:textbox>
              </v:shape>
            </w:pict>
          </mc:Fallback>
        </mc:AlternateContent>
      </w:r>
      <w:r w:rsidR="00C6252C" w:rsidRPr="006F36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E064D8" wp14:editId="210609B7">
                <wp:simplePos x="0" y="0"/>
                <wp:positionH relativeFrom="column">
                  <wp:posOffset>-1351280</wp:posOffset>
                </wp:positionH>
                <wp:positionV relativeFrom="paragraph">
                  <wp:posOffset>-175260</wp:posOffset>
                </wp:positionV>
                <wp:extent cx="8340725" cy="3816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72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F055C" w14:textId="61A8A829" w:rsidR="006F36F0" w:rsidRPr="00143F9C" w:rsidRDefault="006F36F0" w:rsidP="006F36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65E9C" w:themeColor="text2"/>
                                <w:sz w:val="34"/>
                                <w:szCs w:val="34"/>
                              </w:rPr>
                            </w:pP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OzFoodNet Ente</w:t>
                            </w:r>
                            <w:r w:rsidR="002A1586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ric Disease Surveillance Report </w:t>
                            </w:r>
                            <w:r w:rsidR="00380645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3</w:t>
                            </w:r>
                            <w:r w:rsidR="00380645" w:rsidRPr="00380645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  <w:vertAlign w:val="superscript"/>
                              </w:rPr>
                              <w:t>rd</w:t>
                            </w:r>
                            <w:r w:rsidR="00380645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Quarter 20</w:t>
                            </w:r>
                            <w:r w:rsidR="00BF4F31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64D8" id="TextBox 5" o:spid="_x0000_s1027" type="#_x0000_t202" style="position:absolute;margin-left:-106.4pt;margin-top:-13.8pt;width:656.75pt;height:30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" filled="f" stroked="f">
                <v:textbox>
                  <w:txbxContent>
                    <w:p w14:paraId="063F055C" w14:textId="61A8A829" w:rsidR="006F36F0" w:rsidRPr="00143F9C" w:rsidRDefault="006F36F0" w:rsidP="006F36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65E9C" w:themeColor="text2"/>
                          <w:sz w:val="34"/>
                          <w:szCs w:val="34"/>
                        </w:rPr>
                      </w:pP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OzFoodNet Ente</w:t>
                      </w:r>
                      <w:r w:rsidR="002A1586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ric Disease Surveillance Report </w:t>
                      </w:r>
                      <w:r w:rsidR="00380645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3</w:t>
                      </w:r>
                      <w:r w:rsidR="00380645" w:rsidRPr="00380645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  <w:vertAlign w:val="superscript"/>
                        </w:rPr>
                        <w:t>rd</w:t>
                      </w:r>
                      <w:r w:rsidR="00380645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Quarter 20</w:t>
                      </w:r>
                      <w:r w:rsidR="00BF4F31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FC2612">
        <w:rPr>
          <w:noProof/>
          <w:color w:val="899BCA" w:themeColor="text2" w:themeTint="99"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6A4CD" wp14:editId="7FAF76A3">
                <wp:simplePos x="0" y="0"/>
                <wp:positionH relativeFrom="column">
                  <wp:posOffset>4831715</wp:posOffset>
                </wp:positionH>
                <wp:positionV relativeFrom="paragraph">
                  <wp:posOffset>-591820</wp:posOffset>
                </wp:positionV>
                <wp:extent cx="1884045" cy="321945"/>
                <wp:effectExtent l="0" t="0" r="1905" b="19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929E" w14:textId="77777777" w:rsidR="002A1586" w:rsidRPr="002A3F93" w:rsidRDefault="002A1586" w:rsidP="002A158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Enhancing foodborne disease surveillance a</w:t>
                            </w:r>
                            <w:r w:rsidRPr="002A3F9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cross Australia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A4CD" id="Text Box 7" o:spid="_x0000_s1028" type="#_x0000_t202" style="position:absolute;margin-left:380.45pt;margin-top:-46.6pt;width:148.35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" stroked="f">
                <v:textbox inset=".5mm,.3mm,.5mm,.3mm">
                  <w:txbxContent>
                    <w:p w14:paraId="3761929E" w14:textId="77777777" w:rsidR="002A1586" w:rsidRPr="002A3F93" w:rsidRDefault="002A1586" w:rsidP="002A158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Enhancing foodborne disease surveillance a</w:t>
                      </w:r>
                      <w:r w:rsidRPr="002A3F93">
                        <w:rPr>
                          <w:rFonts w:cs="Arial"/>
                          <w:b/>
                          <w:sz w:val="18"/>
                          <w:szCs w:val="18"/>
                        </w:rPr>
                        <w:t>cross Australia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5504C9"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1E5C6C2F" wp14:editId="09673E29">
            <wp:simplePos x="0" y="0"/>
            <wp:positionH relativeFrom="column">
              <wp:posOffset>3977640</wp:posOffset>
            </wp:positionH>
            <wp:positionV relativeFrom="paragraph">
              <wp:posOffset>-720090</wp:posOffset>
            </wp:positionV>
            <wp:extent cx="837565" cy="53213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E9">
        <w:rPr>
          <w:noProof/>
          <w:lang w:eastAsia="en-AU"/>
        </w:rPr>
        <w:drawing>
          <wp:anchor distT="0" distB="0" distL="114300" distR="114300" simplePos="0" relativeHeight="251653120" behindDoc="0" locked="0" layoutInCell="1" allowOverlap="1" wp14:anchorId="0A4C912B" wp14:editId="58C85095">
            <wp:simplePos x="0" y="0"/>
            <wp:positionH relativeFrom="column">
              <wp:posOffset>-786765</wp:posOffset>
            </wp:positionH>
            <wp:positionV relativeFrom="paragraph">
              <wp:posOffset>-632984</wp:posOffset>
            </wp:positionV>
            <wp:extent cx="2423160" cy="445135"/>
            <wp:effectExtent l="0" t="0" r="0" b="0"/>
            <wp:wrapNone/>
            <wp:docPr id="2" name="Picture 2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3728E" w14:textId="0502C341" w:rsidR="00002E4E" w:rsidRDefault="00E15960" w:rsidP="00002E4E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5C9F7D9D" wp14:editId="7640E55D">
            <wp:simplePos x="0" y="0"/>
            <wp:positionH relativeFrom="column">
              <wp:posOffset>-714375</wp:posOffset>
            </wp:positionH>
            <wp:positionV relativeFrom="paragraph">
              <wp:posOffset>1214755</wp:posOffset>
            </wp:positionV>
            <wp:extent cx="7164611" cy="3048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611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D9A6F36" wp14:editId="1E7F0CDC">
                <wp:simplePos x="0" y="0"/>
                <wp:positionH relativeFrom="column">
                  <wp:posOffset>-575945</wp:posOffset>
                </wp:positionH>
                <wp:positionV relativeFrom="paragraph">
                  <wp:posOffset>1128395</wp:posOffset>
                </wp:positionV>
                <wp:extent cx="6867525" cy="2949575"/>
                <wp:effectExtent l="0" t="0" r="952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94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CE48" w14:textId="5666CDFF" w:rsidR="006F36F0" w:rsidRPr="00143F9C" w:rsidRDefault="006F36F0" w:rsidP="00F162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65E9C" w:themeColor="text2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Most common enteric di</w:t>
                            </w:r>
                            <w:r w:rsidR="00243C14"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sease notifications in Quarter </w:t>
                            </w:r>
                            <w:r w:rsidR="00380645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3</w:t>
                            </w: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6F36" id="_x0000_s1029" type="#_x0000_t202" style="position:absolute;margin-left:-45.35pt;margin-top:88.85pt;width:540.75pt;height:232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" fillcolor="#d7dded [671]" stroked="f">
                <v:fill opacity="32896f"/>
                <v:textbox>
                  <w:txbxContent>
                    <w:p w14:paraId="2F70CE48" w14:textId="5666CDFF" w:rsidR="006F36F0" w:rsidRPr="00143F9C" w:rsidRDefault="006F36F0" w:rsidP="00F162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465E9C" w:themeColor="text2"/>
                          <w:sz w:val="32"/>
                          <w:szCs w:val="32"/>
                          <w:lang w:eastAsia="en-AU"/>
                        </w:rPr>
                      </w:pP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Most common enteric di</w:t>
                      </w:r>
                      <w:r w:rsidR="00243C14"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sease notifications in Quarter </w:t>
                      </w:r>
                      <w:r w:rsidR="00380645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3</w:t>
                      </w: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76B429" wp14:editId="696585EA">
                <wp:simplePos x="0" y="0"/>
                <wp:positionH relativeFrom="column">
                  <wp:posOffset>-581025</wp:posOffset>
                </wp:positionH>
                <wp:positionV relativeFrom="paragraph">
                  <wp:posOffset>4186555</wp:posOffset>
                </wp:positionV>
                <wp:extent cx="6868795" cy="4434840"/>
                <wp:effectExtent l="0" t="0" r="825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4434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CE9F" w14:textId="77777777" w:rsidR="00F16266" w:rsidRPr="00E065B7" w:rsidRDefault="00F16266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Change in enteric disease notifications (</w:t>
                            </w:r>
                            <w:proofErr w:type="gramStart"/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%)</w:t>
                            </w:r>
                            <w:r w:rsidR="0024249E"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  <w:t>*</w:t>
                            </w:r>
                            <w:proofErr w:type="gramEnd"/>
                          </w:p>
                          <w:p w14:paraId="39A856B8" w14:textId="77777777" w:rsidR="00F16266" w:rsidRDefault="00F16266" w:rsidP="00F162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B429" id="_x0000_s1030" type="#_x0000_t202" style="position:absolute;margin-left:-45.75pt;margin-top:329.65pt;width:540.85pt;height:34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" fillcolor="#d7dded [671]" stroked="f">
                <v:fill opacity="32896f"/>
                <v:textbox>
                  <w:txbxContent>
                    <w:p w14:paraId="19E9CE9F" w14:textId="77777777" w:rsidR="00F16266" w:rsidRPr="00E065B7" w:rsidRDefault="00F16266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Change in enteric disease notifications (</w:t>
                      </w:r>
                      <w:proofErr w:type="gramStart"/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%)</w:t>
                      </w:r>
                      <w:r w:rsidR="0024249E"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  <w:t>*</w:t>
                      </w:r>
                      <w:proofErr w:type="gramEnd"/>
                    </w:p>
                    <w:p w14:paraId="39A856B8" w14:textId="77777777" w:rsidR="00F16266" w:rsidRDefault="00F16266" w:rsidP="00F1626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649B486E" wp14:editId="31F60EFC">
            <wp:simplePos x="0" y="0"/>
            <wp:positionH relativeFrom="column">
              <wp:posOffset>-361950</wp:posOffset>
            </wp:positionH>
            <wp:positionV relativeFrom="paragraph">
              <wp:posOffset>4481830</wp:posOffset>
            </wp:positionV>
            <wp:extent cx="6448425" cy="377976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779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90E1C2" wp14:editId="5D627350">
                <wp:simplePos x="0" y="0"/>
                <wp:positionH relativeFrom="column">
                  <wp:posOffset>-563880</wp:posOffset>
                </wp:positionH>
                <wp:positionV relativeFrom="paragraph">
                  <wp:posOffset>8216265</wp:posOffset>
                </wp:positionV>
                <wp:extent cx="6852285" cy="49594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9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49CA0" w14:textId="77777777" w:rsidR="0066016D" w:rsidRDefault="00E842C2" w:rsidP="00BE50E9">
                            <w:pPr>
                              <w:spacing w:after="0"/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</w:pPr>
                            <w:r w:rsidRPr="00B70DA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1 </w:t>
                            </w:r>
                            <w:r w:rsidRPr="00B70DAF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Enteric diseases by public health region:</w:t>
                            </w:r>
                            <w:r w:rsidRPr="00B70DAF"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  <w:t xml:space="preserve"> </w:t>
                            </w:r>
                          </w:p>
                          <w:p w14:paraId="1399E72C" w14:textId="77777777" w:rsidR="00827C96" w:rsidRPr="00827C96" w:rsidRDefault="00E15960" w:rsidP="00827C96">
                            <w:pPr>
                              <w:spacing w:after="0"/>
                              <w:rPr>
                                <w:rFonts w:ascii="Calibri" w:hAnsi="Calibri"/>
                                <w:color w:val="004B8D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2" w:history="1">
                              <w:r w:rsidR="00827C96" w:rsidRPr="00827C96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https://ww2.health.wa.gov.au/-/media/Corp/Documents/Health-for/Infectious-disease/OZfoodnet/Word/WA-OzFoodnet-appendix1-2020-Q3.docx</w:t>
                              </w:r>
                            </w:hyperlink>
                          </w:p>
                          <w:p w14:paraId="07097986" w14:textId="09A29BD8" w:rsidR="00A6066D" w:rsidRPr="00A6066D" w:rsidRDefault="00A6066D" w:rsidP="00732A7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E1C2" id="Text Box 21" o:spid="_x0000_s1031" type="#_x0000_t202" style="position:absolute;margin-left:-44.4pt;margin-top:646.95pt;width:539.55pt;height:3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" filled="f" stroked="f" strokeweight=".5pt">
                <v:textbox>
                  <w:txbxContent>
                    <w:p w14:paraId="56549CA0" w14:textId="77777777" w:rsidR="0066016D" w:rsidRDefault="00E842C2" w:rsidP="00BE50E9">
                      <w:pPr>
                        <w:spacing w:after="0"/>
                        <w:rPr>
                          <w:rFonts w:ascii="Calibri" w:hAnsi="Calibri"/>
                          <w:color w:val="005B38"/>
                          <w:sz w:val="14"/>
                        </w:rPr>
                      </w:pPr>
                      <w:r w:rsidRPr="00B70DA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1 </w:t>
                      </w:r>
                      <w:r w:rsidRPr="00B70DAF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Enteric diseases by public health region:</w:t>
                      </w:r>
                      <w:r w:rsidRPr="00B70DAF">
                        <w:rPr>
                          <w:rFonts w:ascii="Calibri" w:hAnsi="Calibri"/>
                          <w:color w:val="005B38"/>
                          <w:sz w:val="14"/>
                        </w:rPr>
                        <w:t xml:space="preserve"> </w:t>
                      </w:r>
                    </w:p>
                    <w:p w14:paraId="1399E72C" w14:textId="77777777" w:rsidR="00827C96" w:rsidRPr="00827C96" w:rsidRDefault="00E15960" w:rsidP="00827C96">
                      <w:pPr>
                        <w:spacing w:after="0"/>
                        <w:rPr>
                          <w:rFonts w:ascii="Calibri" w:hAnsi="Calibri"/>
                          <w:color w:val="004B8D"/>
                          <w:sz w:val="16"/>
                          <w:szCs w:val="16"/>
                          <w:u w:val="single"/>
                        </w:rPr>
                      </w:pPr>
                      <w:hyperlink r:id="rId13" w:history="1">
                        <w:r w:rsidR="00827C96" w:rsidRPr="00827C96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https://ww2.health.wa.gov.au/-/media/Corp/Documents/Health-for/Infectious-disease/OZfoodnet/Word/WA-OzFoodnet-appendix1-2020-Q3.docx</w:t>
                        </w:r>
                      </w:hyperlink>
                    </w:p>
                    <w:p w14:paraId="07097986" w14:textId="09A29BD8" w:rsidR="00A6066D" w:rsidRPr="00A6066D" w:rsidRDefault="00A6066D" w:rsidP="00732A7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3829AE" wp14:editId="7FED344D">
                <wp:simplePos x="0" y="0"/>
                <wp:positionH relativeFrom="column">
                  <wp:posOffset>-581025</wp:posOffset>
                </wp:positionH>
                <wp:positionV relativeFrom="paragraph">
                  <wp:posOffset>8582025</wp:posOffset>
                </wp:positionV>
                <wp:extent cx="6885305" cy="52451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CE36" w14:textId="77777777" w:rsidR="00D723C4" w:rsidRPr="0024249E" w:rsidRDefault="00BE50E9" w:rsidP="002424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</w:t>
                            </w:r>
                            <w:r w:rsidR="00D723C4" w:rsidRPr="0024249E">
                              <w:rPr>
                                <w:sz w:val="16"/>
                              </w:rPr>
      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29AE" id="_x0000_s1032" type="#_x0000_t202" style="position:absolute;margin-left:-45.75pt;margin-top:675.75pt;width:542.15pt;height:4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" filled="f" stroked="f">
                <v:textbox>
                  <w:txbxContent>
                    <w:p w14:paraId="2064CE36" w14:textId="77777777" w:rsidR="00D723C4" w:rsidRPr="0024249E" w:rsidRDefault="00BE50E9" w:rsidP="0024249E">
                      <w:pPr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>*</w:t>
                      </w:r>
                      <w:r w:rsidR="00D723C4" w:rsidRPr="0024249E">
                        <w:rPr>
                          <w:sz w:val="16"/>
                        </w:rPr>
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</w:r>
                    </w:p>
                  </w:txbxContent>
                </v:textbox>
              </v:shape>
            </w:pict>
          </mc:Fallback>
        </mc:AlternateContent>
      </w:r>
      <w:r w:rsidR="00F16266">
        <w:br w:type="page"/>
      </w:r>
    </w:p>
    <w:p w14:paraId="78278622" w14:textId="60712B30" w:rsidR="00F16266" w:rsidRPr="00C862D8" w:rsidRDefault="00002E4E" w:rsidP="009D1723">
      <w:pPr>
        <w:jc w:val="center"/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1C50FF21" wp14:editId="59015C63">
            <wp:simplePos x="0" y="0"/>
            <wp:positionH relativeFrom="column">
              <wp:posOffset>-542925</wp:posOffset>
            </wp:positionH>
            <wp:positionV relativeFrom="paragraph">
              <wp:posOffset>383540</wp:posOffset>
            </wp:positionV>
            <wp:extent cx="3390265" cy="1514475"/>
            <wp:effectExtent l="0" t="0" r="63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0" b="70202"/>
                    <a:stretch/>
                  </pic:blipFill>
                  <pic:spPr bwMode="auto">
                    <a:xfrm>
                      <a:off x="0" y="0"/>
                      <a:ext cx="33902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9C2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O</w:t>
      </w:r>
      <w:bookmarkStart w:id="0" w:name="_GoBack"/>
      <w:bookmarkEnd w:id="0"/>
      <w:r w:rsidR="008449C2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utbreaks in Quarter </w:t>
      </w:r>
      <w:r w:rsidR="0038064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3</w:t>
      </w:r>
      <w:r w:rsidR="008449C2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20</w:t>
      </w:r>
      <w:r w:rsidR="00BF4F31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20</w:t>
      </w:r>
    </w:p>
    <w:p w14:paraId="3256666C" w14:textId="44B00953" w:rsidR="00002E4E" w:rsidRDefault="00002E4E" w:rsidP="00F1626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B091F11" wp14:editId="24422B51">
            <wp:simplePos x="0" y="0"/>
            <wp:positionH relativeFrom="column">
              <wp:posOffset>2952750</wp:posOffset>
            </wp:positionH>
            <wp:positionV relativeFrom="paragraph">
              <wp:posOffset>12700</wp:posOffset>
            </wp:positionV>
            <wp:extent cx="3364153" cy="1495425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89" b="50897"/>
                    <a:stretch/>
                  </pic:blipFill>
                  <pic:spPr bwMode="auto">
                    <a:xfrm>
                      <a:off x="0" y="0"/>
                      <a:ext cx="3364153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84172" w14:textId="1F86A367" w:rsidR="00002E4E" w:rsidRDefault="00002E4E" w:rsidP="00F16266">
      <w:pPr>
        <w:rPr>
          <w:noProof/>
        </w:rPr>
      </w:pPr>
    </w:p>
    <w:p w14:paraId="0C8DF68B" w14:textId="3062833B" w:rsidR="00002E4E" w:rsidRDefault="00002E4E" w:rsidP="00F16266">
      <w:pPr>
        <w:rPr>
          <w:noProof/>
        </w:rPr>
      </w:pPr>
    </w:p>
    <w:p w14:paraId="7ACC60F3" w14:textId="4013EB8C" w:rsidR="00ED5CC5" w:rsidRDefault="00ED5CC5" w:rsidP="00F16266">
      <w:pPr>
        <w:rPr>
          <w:noProof/>
        </w:rPr>
      </w:pPr>
    </w:p>
    <w:p w14:paraId="1F51BE9D" w14:textId="7C1F6380" w:rsidR="00F16266" w:rsidRPr="00F16266" w:rsidRDefault="00F16266" w:rsidP="00F16266"/>
    <w:p w14:paraId="1E0A550B" w14:textId="0B709855" w:rsidR="00F16266" w:rsidRPr="00F16266" w:rsidRDefault="00002E4E" w:rsidP="00F16266">
      <w:r>
        <w:rPr>
          <w:noProof/>
        </w:rPr>
        <w:drawing>
          <wp:anchor distT="0" distB="0" distL="114300" distR="114300" simplePos="0" relativeHeight="251660800" behindDoc="0" locked="0" layoutInCell="1" allowOverlap="1" wp14:anchorId="53CC4474" wp14:editId="26256FF5">
            <wp:simplePos x="0" y="0"/>
            <wp:positionH relativeFrom="column">
              <wp:posOffset>971550</wp:posOffset>
            </wp:positionH>
            <wp:positionV relativeFrom="paragraph">
              <wp:posOffset>192405</wp:posOffset>
            </wp:positionV>
            <wp:extent cx="3793490" cy="1599664"/>
            <wp:effectExtent l="0" t="0" r="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87" b="33746"/>
                    <a:stretch/>
                  </pic:blipFill>
                  <pic:spPr bwMode="auto">
                    <a:xfrm>
                      <a:off x="0" y="0"/>
                      <a:ext cx="3793490" cy="159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DADB7" w14:textId="54A2FA7E" w:rsidR="00F16266" w:rsidRPr="00F16266" w:rsidRDefault="00F16266" w:rsidP="00F16266"/>
    <w:p w14:paraId="5311159A" w14:textId="2F6C13F1" w:rsidR="00002E4E" w:rsidRDefault="00002E4E" w:rsidP="00F16266">
      <w:pPr>
        <w:rPr>
          <w:noProof/>
        </w:rPr>
      </w:pPr>
    </w:p>
    <w:p w14:paraId="62C946E8" w14:textId="074F6E06" w:rsidR="00956876" w:rsidRDefault="00956876" w:rsidP="00F16266">
      <w:pPr>
        <w:rPr>
          <w:noProof/>
        </w:rPr>
      </w:pPr>
    </w:p>
    <w:p w14:paraId="3D9F0A23" w14:textId="401D4869" w:rsidR="00002E4E" w:rsidRDefault="00002E4E" w:rsidP="00F16266">
      <w:pPr>
        <w:rPr>
          <w:noProof/>
        </w:rPr>
      </w:pPr>
    </w:p>
    <w:p w14:paraId="7CC83954" w14:textId="0FF3B799" w:rsidR="007A4E48" w:rsidRDefault="007A4E48" w:rsidP="009C4DFF"/>
    <w:p w14:paraId="67F33837" w14:textId="13D7304B" w:rsidR="00F16266" w:rsidRPr="00F16266" w:rsidRDefault="00E15960" w:rsidP="00F16266"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E9CDAE" wp14:editId="712883A1">
                <wp:simplePos x="0" y="0"/>
                <wp:positionH relativeFrom="column">
                  <wp:posOffset>-467360</wp:posOffset>
                </wp:positionH>
                <wp:positionV relativeFrom="paragraph">
                  <wp:posOffset>108585</wp:posOffset>
                </wp:positionV>
                <wp:extent cx="6708775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C766" w14:textId="58B3DF00" w:rsidR="00E842C2" w:rsidRDefault="00E842C2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  <w:r w:rsidRPr="00B70DA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 Details of foodborne outbreaks investigated in Quarter </w:t>
                            </w:r>
                            <w:r w:rsidR="00C53A97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3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, 20</w:t>
                            </w:r>
                            <w:r w:rsidR="007B47D8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20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:</w:t>
                            </w:r>
                          </w:p>
                          <w:p w14:paraId="5170D107" w14:textId="77777777" w:rsidR="00D76BC4" w:rsidRPr="00D76BC4" w:rsidRDefault="00E15960" w:rsidP="00D76BC4">
                            <w:pPr>
                              <w:spacing w:after="0"/>
                              <w:rPr>
                                <w:rFonts w:ascii="Calibri" w:hAnsi="Calibri"/>
                                <w:color w:val="004B8D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6" w:history="1">
                              <w:r w:rsidR="00D76BC4" w:rsidRPr="00D76BC4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https://ww2.health.wa.gov.au/-/media/Corp/Documents/Health-for/Infectious-disease/OZfoodnet/Word/WA-OzFoodnet-appendix2-2020-Q3.docx</w:t>
                              </w:r>
                            </w:hyperlink>
                          </w:p>
                          <w:p w14:paraId="51A965C4" w14:textId="77777777" w:rsidR="0066016D" w:rsidRPr="00BB48D3" w:rsidRDefault="0066016D" w:rsidP="00BB48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CDAE" id="Text Box 23" o:spid="_x0000_s1033" type="#_x0000_t202" style="position:absolute;margin-left:-36.8pt;margin-top:8.55pt;width:528.25pt;height:4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" filled="f" stroked="f" strokeweight=".5pt">
                <v:textbox>
                  <w:txbxContent>
                    <w:p w14:paraId="2DC2C766" w14:textId="58B3DF00" w:rsidR="00E842C2" w:rsidRDefault="00E842C2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  <w:r w:rsidRPr="00B70DA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</w:t>
                      </w:r>
                      <w:r w:rsidRPr="00A6066D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</w:t>
                      </w:r>
                      <w:r w:rsidRPr="00A6066D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 Details of foodborne outbreaks investigated in Quarter </w:t>
                      </w:r>
                      <w:r w:rsidR="00C53A97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3</w:t>
                      </w:r>
                      <w:r w:rsidRPr="00A6066D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, 20</w:t>
                      </w:r>
                      <w:r w:rsidR="007B47D8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20</w:t>
                      </w:r>
                      <w:r w:rsidRPr="00A6066D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:</w:t>
                      </w:r>
                    </w:p>
                    <w:p w14:paraId="5170D107" w14:textId="77777777" w:rsidR="00D76BC4" w:rsidRPr="00D76BC4" w:rsidRDefault="00E15960" w:rsidP="00D76BC4">
                      <w:pPr>
                        <w:spacing w:after="0"/>
                        <w:rPr>
                          <w:rFonts w:ascii="Calibri" w:hAnsi="Calibri"/>
                          <w:color w:val="004B8D"/>
                          <w:sz w:val="16"/>
                          <w:szCs w:val="16"/>
                          <w:u w:val="single"/>
                        </w:rPr>
                      </w:pPr>
                      <w:hyperlink r:id="rId17" w:history="1">
                        <w:r w:rsidR="00D76BC4" w:rsidRPr="00D76BC4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https://ww2.health.wa.gov.au/-/media/Corp/Documents/Health-for/Infectious-disease/OZfoodnet/Word/WA-OzFoodnet-appendix2-2020-Q3.docx</w:t>
                        </w:r>
                      </w:hyperlink>
                    </w:p>
                    <w:p w14:paraId="51A965C4" w14:textId="77777777" w:rsidR="0066016D" w:rsidRPr="00BB48D3" w:rsidRDefault="0066016D" w:rsidP="00BB48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0C42A" w14:textId="77777777" w:rsidR="00002E4E" w:rsidRDefault="00002E4E" w:rsidP="00F16266"/>
    <w:p w14:paraId="0AF8CCAB" w14:textId="1E6F7F3B" w:rsidR="00F16266" w:rsidRPr="00F16266" w:rsidRDefault="009A7D15" w:rsidP="00F162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996EBB" wp14:editId="6EAF9098">
                <wp:simplePos x="0" y="0"/>
                <wp:positionH relativeFrom="column">
                  <wp:posOffset>-476250</wp:posOffset>
                </wp:positionH>
                <wp:positionV relativeFrom="paragraph">
                  <wp:posOffset>322580</wp:posOffset>
                </wp:positionV>
                <wp:extent cx="6708775" cy="5029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5029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C760" w14:textId="36695679" w:rsidR="00447A73" w:rsidRPr="00600F2C" w:rsidRDefault="00F16266" w:rsidP="0012565F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Key trends from Quarter </w:t>
                            </w:r>
                            <w:r w:rsidR="00380645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3</w:t>
                            </w: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20</w:t>
                            </w:r>
                          </w:p>
                          <w:p w14:paraId="215C961A" w14:textId="77777777" w:rsidR="00D050EF" w:rsidRPr="00931BD5" w:rsidRDefault="00D050EF" w:rsidP="0012565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  <w:p w14:paraId="77F73052" w14:textId="77777777" w:rsidR="00BB48D3" w:rsidRPr="00931BD5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</w:pPr>
                            <w:r w:rsidRPr="00931BD5">
                              <w:rPr>
                                <w:rFonts w:eastAsia="Calibri" w:cs="Times New Roman"/>
                                <w:b/>
                                <w:i/>
                                <w:color w:val="465E9C"/>
                                <w:sz w:val="20"/>
                                <w:szCs w:val="20"/>
                              </w:rPr>
                              <w:t>Salmonella</w:t>
                            </w:r>
                            <w:r w:rsidRPr="00931BD5"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  <w:t xml:space="preserve"> Typhimurium (STM) MLVA</w:t>
                            </w:r>
                            <w:r w:rsidRPr="00C862D8"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F2C">
                              <w:rPr>
                                <w:rFonts w:eastAsia="Calibri" w:cs="Times New Roman"/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03-17-09-12-523 </w:t>
                            </w:r>
                          </w:p>
                          <w:p w14:paraId="6105A190" w14:textId="17225C11" w:rsidR="00BB48D3" w:rsidRPr="00627EBE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STM MLVA 03-17-09-12-523 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has been under investigation since the type emerged in September 2016. From September 20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16 to 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September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F51AF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there </w:t>
                            </w:r>
                            <w:r w:rsidR="0099532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were 1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97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notified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109</w:t>
                            </w:r>
                            <w:r w:rsidR="0099532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in 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171EAF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. This MLVA type was the single mos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 common MLVA type notified in 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constituting 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45</w:t>
                            </w:r>
                            <w:r w:rsidRPr="002D5423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STM notifications for the quarter. 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Of the 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109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cases, 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13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12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were part of </w:t>
                            </w:r>
                            <w:proofErr w:type="gramStart"/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two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point</w:t>
                            </w:r>
                            <w:proofErr w:type="gramEnd"/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source outbreak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identified. 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Tiramisu</w:t>
                            </w:r>
                            <w:r w:rsidR="00240211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containing raw eggs</w:t>
                            </w:r>
                            <w:r w:rsidR="00DE7A1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was implicated in </w:t>
                            </w:r>
                            <w:r w:rsidR="00D0395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both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outbreak</w:t>
                            </w:r>
                            <w:r w:rsidR="00D0395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. Of the remaining </w:t>
                            </w:r>
                            <w:r w:rsidR="0059433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96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cases, most (</w:t>
                            </w:r>
                            <w:r w:rsidR="00D0395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90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resided in the Perth metropolitan area. </w:t>
                            </w:r>
                            <w:r w:rsidR="002848B3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Hospitalisation data were confirmed for </w:t>
                            </w:r>
                            <w:r w:rsidR="00D0395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ED5CC5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2848B3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community cases; </w:t>
                            </w:r>
                            <w:r w:rsidR="00D0395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31</w:t>
                            </w:r>
                            <w:r w:rsidR="002848B3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% were hospitalised.</w:t>
                            </w:r>
                          </w:p>
                          <w:p w14:paraId="3014012F" w14:textId="67E9E9E0" w:rsidR="00D050EF" w:rsidRPr="00FC2612" w:rsidRDefault="00594333" w:rsidP="00F25D18">
                            <w:pPr>
                              <w:jc w:val="center"/>
                            </w:pPr>
                            <w:r w:rsidRPr="00594333">
                              <w:rPr>
                                <w:noProof/>
                              </w:rPr>
                              <w:drawing>
                                <wp:inline distT="0" distB="0" distL="0" distR="0" wp14:anchorId="0D19B5B5" wp14:editId="5DB2747B">
                                  <wp:extent cx="6517005" cy="2952766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7005" cy="2952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E22D2" w14:textId="56646280" w:rsidR="00D050EF" w:rsidRPr="00600F2C" w:rsidRDefault="00DB0727" w:rsidP="00D050EF">
                            <w:pPr>
                              <w:pStyle w:val="Caption"/>
                              <w:spacing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F25D18">
                              <w:rPr>
                                <w:color w:val="465E9C" w:themeColor="text2"/>
                                <w:sz w:val="20"/>
                              </w:rPr>
                              <w:t>Figure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: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Notifications of </w:t>
                            </w:r>
                            <w:r w:rsidR="00D050EF" w:rsidRPr="00600F2C">
                              <w:rPr>
                                <w:i/>
                                <w:color w:val="465E9C" w:themeColor="text2"/>
                                <w:sz w:val="20"/>
                              </w:rPr>
                              <w:t>Salmonella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Typhimurium MLVA 03-17-09-12-523 in WA</w:t>
                            </w:r>
                            <w:r w:rsidR="00D03951">
                              <w:rPr>
                                <w:color w:val="465E9C" w:themeColor="text2"/>
                                <w:sz w:val="20"/>
                              </w:rPr>
                              <w:t>,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2016 to </w:t>
                            </w:r>
                            <w:r w:rsidR="00C53A97">
                              <w:rPr>
                                <w:color w:val="465E9C" w:themeColor="text2"/>
                                <w:sz w:val="20"/>
                              </w:rPr>
                              <w:t>September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20</w:t>
                            </w:r>
                            <w:r w:rsidR="00BF4F31">
                              <w:rPr>
                                <w:color w:val="465E9C" w:themeColor="text2"/>
                                <w:sz w:val="20"/>
                              </w:rPr>
                              <w:t>20</w:t>
                            </w:r>
                          </w:p>
                          <w:p w14:paraId="240A955A" w14:textId="77777777" w:rsidR="00256108" w:rsidRPr="0014114D" w:rsidRDefault="00256108" w:rsidP="0087065F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6EBB" id="_x0000_s1034" type="#_x0000_t202" style="position:absolute;margin-left:-37.5pt;margin-top:25.4pt;width:528.25pt;height:3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" fillcolor="#d7dded [671]" stroked="f">
                <v:fill opacity="32896f"/>
                <v:textbox>
                  <w:txbxContent>
                    <w:p w14:paraId="453BC760" w14:textId="36695679" w:rsidR="00447A73" w:rsidRPr="00600F2C" w:rsidRDefault="00F16266" w:rsidP="0012565F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Key trends from Quarter </w:t>
                      </w:r>
                      <w:r w:rsidR="00380645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3</w:t>
                      </w: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20</w:t>
                      </w:r>
                    </w:p>
                    <w:p w14:paraId="215C961A" w14:textId="77777777" w:rsidR="00D050EF" w:rsidRPr="00931BD5" w:rsidRDefault="00D050EF" w:rsidP="0012565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  <w:lang w:eastAsia="en-AU"/>
                        </w:rPr>
                      </w:pPr>
                    </w:p>
                    <w:p w14:paraId="77F73052" w14:textId="77777777" w:rsidR="00BB48D3" w:rsidRPr="00931BD5" w:rsidRDefault="00BB48D3" w:rsidP="00BB48D3">
                      <w:pPr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</w:pPr>
                      <w:r w:rsidRPr="00931BD5">
                        <w:rPr>
                          <w:rFonts w:eastAsia="Calibri" w:cs="Times New Roman"/>
                          <w:b/>
                          <w:i/>
                          <w:color w:val="465E9C"/>
                          <w:sz w:val="20"/>
                          <w:szCs w:val="20"/>
                        </w:rPr>
                        <w:t>Salmonella</w:t>
                      </w:r>
                      <w:r w:rsidRPr="00931BD5"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  <w:t xml:space="preserve"> Typhimurium (STM) MLVA</w:t>
                      </w:r>
                      <w:r w:rsidRPr="00C862D8"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00F2C">
                        <w:rPr>
                          <w:rFonts w:eastAsia="Calibri" w:cs="Times New Roman"/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03-17-09-12-523 </w:t>
                      </w:r>
                    </w:p>
                    <w:p w14:paraId="6105A190" w14:textId="17225C11" w:rsidR="00BB48D3" w:rsidRPr="00627EBE" w:rsidRDefault="00BB48D3" w:rsidP="00BB48D3">
                      <w:pPr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STM MLVA 03-17-09-12-523 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has been under investigation since the type emerged in September 2016. From September 20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16 to 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September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20</w:t>
                      </w:r>
                      <w:r w:rsidR="00F51AF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there </w:t>
                      </w:r>
                      <w:r w:rsidR="0099532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were 1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7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97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notified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including 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109</w:t>
                      </w:r>
                      <w:r w:rsidR="0099532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in 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171EAF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. This MLVA type was the single mos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 common MLVA type notified in 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constituting 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45</w:t>
                      </w:r>
                      <w:r w:rsidRPr="002D5423">
                        <w:rPr>
                          <w:rFonts w:eastAsia="Calibri" w:cs="Arial"/>
                          <w:sz w:val="20"/>
                          <w:szCs w:val="20"/>
                        </w:rPr>
                        <w:t>%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STM notifications for the quarter. 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Of the 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109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cases, 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13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(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12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were part of </w:t>
                      </w:r>
                      <w:proofErr w:type="gramStart"/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two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point</w:t>
                      </w:r>
                      <w:proofErr w:type="gramEnd"/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source outbreak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s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identified. 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Tiramisu</w:t>
                      </w:r>
                      <w:r w:rsidR="00240211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containing raw eggs</w:t>
                      </w:r>
                      <w:r w:rsidR="00DE7A1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was implicated in </w:t>
                      </w:r>
                      <w:r w:rsidR="00D03951">
                        <w:rPr>
                          <w:rFonts w:eastAsia="Calibri" w:cs="Times New Roman"/>
                          <w:sz w:val="20"/>
                          <w:szCs w:val="20"/>
                        </w:rPr>
                        <w:t>both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outbreak</w:t>
                      </w:r>
                      <w:r w:rsidR="00D03951">
                        <w:rPr>
                          <w:rFonts w:eastAsia="Calibri" w:cs="Times New Roman"/>
                          <w:sz w:val="20"/>
                          <w:szCs w:val="20"/>
                        </w:rPr>
                        <w:t>s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. Of the remaining </w:t>
                      </w:r>
                      <w:r w:rsidR="00594333">
                        <w:rPr>
                          <w:rFonts w:eastAsia="Calibri" w:cs="Times New Roman"/>
                          <w:sz w:val="20"/>
                          <w:szCs w:val="20"/>
                        </w:rPr>
                        <w:t>96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cases, most (</w:t>
                      </w:r>
                      <w:r w:rsidR="00D03951">
                        <w:rPr>
                          <w:rFonts w:eastAsia="Calibri" w:cs="Times New Roman"/>
                          <w:sz w:val="20"/>
                          <w:szCs w:val="20"/>
                        </w:rPr>
                        <w:t>90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resided in the Perth metropolitan area. </w:t>
                      </w:r>
                      <w:r w:rsidR="002848B3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Hospitalisation data were confirmed for </w:t>
                      </w:r>
                      <w:r w:rsidR="00D03951">
                        <w:rPr>
                          <w:rFonts w:eastAsia="Calibri" w:cs="Times New Roman"/>
                          <w:sz w:val="20"/>
                          <w:szCs w:val="20"/>
                        </w:rPr>
                        <w:t>9</w:t>
                      </w:r>
                      <w:r w:rsidR="00ED5CC5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="002848B3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community cases; </w:t>
                      </w:r>
                      <w:r w:rsidR="00D03951">
                        <w:rPr>
                          <w:rFonts w:eastAsia="Calibri" w:cs="Times New Roman"/>
                          <w:sz w:val="20"/>
                          <w:szCs w:val="20"/>
                        </w:rPr>
                        <w:t>31</w:t>
                      </w:r>
                      <w:r w:rsidR="002848B3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>% were hospitalised.</w:t>
                      </w:r>
                    </w:p>
                    <w:p w14:paraId="3014012F" w14:textId="67E9E9E0" w:rsidR="00D050EF" w:rsidRPr="00FC2612" w:rsidRDefault="00594333" w:rsidP="00F25D18">
                      <w:pPr>
                        <w:jc w:val="center"/>
                      </w:pPr>
                      <w:r w:rsidRPr="00594333">
                        <w:rPr>
                          <w:noProof/>
                        </w:rPr>
                        <w:drawing>
                          <wp:inline distT="0" distB="0" distL="0" distR="0" wp14:anchorId="0D19B5B5" wp14:editId="5DB2747B">
                            <wp:extent cx="6517005" cy="2952766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7005" cy="2952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7E22D2" w14:textId="56646280" w:rsidR="00D050EF" w:rsidRPr="00600F2C" w:rsidRDefault="00DB0727" w:rsidP="00D050EF">
                      <w:pPr>
                        <w:pStyle w:val="Caption"/>
                        <w:spacing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F25D18">
                        <w:rPr>
                          <w:color w:val="465E9C" w:themeColor="text2"/>
                          <w:sz w:val="20"/>
                        </w:rPr>
                        <w:t>Figure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: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Notifications of </w:t>
                      </w:r>
                      <w:r w:rsidR="00D050EF" w:rsidRPr="00600F2C">
                        <w:rPr>
                          <w:i/>
                          <w:color w:val="465E9C" w:themeColor="text2"/>
                          <w:sz w:val="20"/>
                        </w:rPr>
                        <w:t>Salmonella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Typhimurium MLVA 03-17-09-12-523 in WA</w:t>
                      </w:r>
                      <w:r w:rsidR="00D03951">
                        <w:rPr>
                          <w:color w:val="465E9C" w:themeColor="text2"/>
                          <w:sz w:val="20"/>
                        </w:rPr>
                        <w:t>,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2016 to </w:t>
                      </w:r>
                      <w:r w:rsidR="00C53A97">
                        <w:rPr>
                          <w:color w:val="465E9C" w:themeColor="text2"/>
                          <w:sz w:val="20"/>
                        </w:rPr>
                        <w:t>September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20</w:t>
                      </w:r>
                      <w:r w:rsidR="00BF4F31">
                        <w:rPr>
                          <w:color w:val="465E9C" w:themeColor="text2"/>
                          <w:sz w:val="20"/>
                        </w:rPr>
                        <w:t>20</w:t>
                      </w:r>
                    </w:p>
                    <w:p w14:paraId="240A955A" w14:textId="77777777" w:rsidR="00256108" w:rsidRPr="0014114D" w:rsidRDefault="00256108" w:rsidP="0087065F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D080FC" w14:textId="245C4E4E" w:rsidR="00F16266" w:rsidRDefault="00F16266" w:rsidP="00F16266"/>
    <w:p w14:paraId="2AF0F440" w14:textId="3DE82101" w:rsidR="00286B46" w:rsidRDefault="00F16266" w:rsidP="00F16266">
      <w:pPr>
        <w:tabs>
          <w:tab w:val="left" w:pos="1861"/>
        </w:tabs>
      </w:pPr>
      <w:r>
        <w:tab/>
      </w:r>
    </w:p>
    <w:p w14:paraId="78D717A2" w14:textId="4BB7C1EC" w:rsidR="00286B46" w:rsidRPr="00286B46" w:rsidRDefault="00286B46" w:rsidP="00286B46"/>
    <w:p w14:paraId="6EB2A0A1" w14:textId="77777777" w:rsidR="00286B46" w:rsidRPr="00286B46" w:rsidRDefault="00286B46" w:rsidP="00286B46"/>
    <w:p w14:paraId="55C92737" w14:textId="7C4C4F32" w:rsidR="00286B46" w:rsidRDefault="00286B46" w:rsidP="00286B46"/>
    <w:p w14:paraId="20F24405" w14:textId="77777777" w:rsidR="009342F3" w:rsidRDefault="009342F3" w:rsidP="00286B46">
      <w:pPr>
        <w:rPr>
          <w:b/>
          <w:color w:val="FF0000"/>
        </w:rPr>
      </w:pPr>
    </w:p>
    <w:p w14:paraId="092841E5" w14:textId="6403C381" w:rsidR="009342F3" w:rsidRDefault="009342F3" w:rsidP="00286B46">
      <w:pPr>
        <w:rPr>
          <w:b/>
          <w:color w:val="FF0000"/>
        </w:rPr>
      </w:pPr>
    </w:p>
    <w:p w14:paraId="6874AC01" w14:textId="2F98DCC3" w:rsidR="009342F3" w:rsidRDefault="009342F3" w:rsidP="00286B46">
      <w:pPr>
        <w:rPr>
          <w:b/>
          <w:color w:val="FF0000"/>
        </w:rPr>
      </w:pPr>
    </w:p>
    <w:p w14:paraId="5EF79CF2" w14:textId="70BD36A3" w:rsidR="009342F3" w:rsidRDefault="009342F3" w:rsidP="00286B46">
      <w:pPr>
        <w:rPr>
          <w:b/>
          <w:color w:val="FF0000"/>
        </w:rPr>
      </w:pPr>
    </w:p>
    <w:p w14:paraId="5C4CD00C" w14:textId="77777777" w:rsidR="009342F3" w:rsidRDefault="009342F3" w:rsidP="00286B46">
      <w:pPr>
        <w:rPr>
          <w:b/>
          <w:color w:val="FF0000"/>
        </w:rPr>
      </w:pPr>
    </w:p>
    <w:p w14:paraId="09D637ED" w14:textId="16A21DC5" w:rsidR="0064090A" w:rsidRDefault="0064090A" w:rsidP="00286B46">
      <w:pPr>
        <w:rPr>
          <w:b/>
          <w:color w:val="FF0000"/>
        </w:rPr>
      </w:pPr>
    </w:p>
    <w:p w14:paraId="7A2C3139" w14:textId="3E80A003" w:rsidR="004C2780" w:rsidRDefault="004C2780" w:rsidP="00B62E68">
      <w:pPr>
        <w:rPr>
          <w:b/>
          <w:color w:val="FF0000"/>
        </w:rPr>
      </w:pPr>
    </w:p>
    <w:p w14:paraId="0C694568" w14:textId="2F0D5EBA" w:rsidR="005D47ED" w:rsidRDefault="005D47ED" w:rsidP="00B62E68">
      <w:pPr>
        <w:rPr>
          <w:b/>
          <w:color w:val="FF0000"/>
        </w:rPr>
      </w:pPr>
    </w:p>
    <w:p w14:paraId="3D985743" w14:textId="6403ADC9" w:rsidR="005D47ED" w:rsidRDefault="005D47ED" w:rsidP="00B62E68">
      <w:pPr>
        <w:rPr>
          <w:b/>
          <w:color w:val="FF0000"/>
        </w:rPr>
      </w:pPr>
    </w:p>
    <w:p w14:paraId="18586CD3" w14:textId="7919A7FF" w:rsidR="005D47ED" w:rsidRDefault="005D47ED" w:rsidP="00B62E68">
      <w:pPr>
        <w:rPr>
          <w:b/>
          <w:color w:val="FF0000"/>
        </w:rPr>
      </w:pPr>
    </w:p>
    <w:p w14:paraId="13539912" w14:textId="1744A4B9" w:rsidR="00A868F6" w:rsidRDefault="00A868F6" w:rsidP="00B62E68">
      <w:pPr>
        <w:rPr>
          <w:b/>
          <w:color w:val="FF0000"/>
        </w:rPr>
      </w:pPr>
    </w:p>
    <w:p w14:paraId="092406C8" w14:textId="3655DE79" w:rsidR="00DB0727" w:rsidRDefault="00D03951" w:rsidP="00B62E68">
      <w:pPr>
        <w:rPr>
          <w:b/>
          <w:color w:val="FF000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B1DB853" wp14:editId="71E59F02">
                <wp:simplePos x="0" y="0"/>
                <wp:positionH relativeFrom="column">
                  <wp:posOffset>-485775</wp:posOffset>
                </wp:positionH>
                <wp:positionV relativeFrom="paragraph">
                  <wp:posOffset>-238125</wp:posOffset>
                </wp:positionV>
                <wp:extent cx="6708775" cy="30765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17FF" w14:textId="7A33764C" w:rsidR="009C4DFF" w:rsidRPr="008D2F70" w:rsidRDefault="00D03951" w:rsidP="009C4DFF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3D2322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Listeria</w:t>
                            </w:r>
                          </w:p>
                          <w:p w14:paraId="583E3BE9" w14:textId="38BF913A" w:rsidR="003C1946" w:rsidRPr="009A7D15" w:rsidRDefault="00F770DD" w:rsidP="008975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Four listeria cases were notified in 3Q20</w:t>
                            </w:r>
                            <w:r w:rsidR="003D2322">
                              <w:rPr>
                                <w:sz w:val="20"/>
                                <w:szCs w:val="20"/>
                              </w:rPr>
                              <w:t>, including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one perinatal pair</w:t>
                            </w:r>
                            <w:r w:rsidR="00264633" w:rsidRPr="009A7D1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D2322">
                              <w:rPr>
                                <w:sz w:val="20"/>
                                <w:szCs w:val="20"/>
                              </w:rPr>
                              <w:t xml:space="preserve"> The infant</w:t>
                            </w:r>
                            <w:r w:rsidR="00F056D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3D2322">
                              <w:rPr>
                                <w:sz w:val="20"/>
                                <w:szCs w:val="20"/>
                              </w:rPr>
                              <w:t xml:space="preserve"> born prematurely</w:t>
                            </w:r>
                            <w:r w:rsidR="00F056D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3D2322">
                              <w:rPr>
                                <w:sz w:val="20"/>
                                <w:szCs w:val="20"/>
                              </w:rPr>
                              <w:t xml:space="preserve"> survived. The two non-perinatal cases were an 85-year-old female and 62-year-old male who were both on chemotherapy for terminal cancer. Both cases passed away. All cases had eaten </w:t>
                            </w:r>
                            <w:r w:rsidR="00F056D0">
                              <w:rPr>
                                <w:sz w:val="20"/>
                                <w:szCs w:val="20"/>
                              </w:rPr>
                              <w:t>multiple high-risk</w:t>
                            </w:r>
                            <w:r w:rsidR="003D2322">
                              <w:rPr>
                                <w:sz w:val="20"/>
                                <w:szCs w:val="20"/>
                              </w:rPr>
                              <w:t xml:space="preserve"> foods during their incubation. Environmental investigation did not identify any implicated food</w:t>
                            </w:r>
                            <w:r w:rsidR="00F056D0">
                              <w:rPr>
                                <w:sz w:val="20"/>
                                <w:szCs w:val="20"/>
                              </w:rPr>
                              <w:t xml:space="preserve"> products</w:t>
                            </w:r>
                            <w:r w:rsidR="003D2322">
                              <w:rPr>
                                <w:sz w:val="20"/>
                                <w:szCs w:val="20"/>
                              </w:rPr>
                              <w:t xml:space="preserve"> and typing for cases were unique.  </w:t>
                            </w:r>
                          </w:p>
                          <w:p w14:paraId="25FCCD11" w14:textId="77777777" w:rsidR="00E26D2C" w:rsidRPr="00760107" w:rsidRDefault="00E26D2C" w:rsidP="005D47E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Shiga toxin producing </w:t>
                            </w:r>
                            <w:r w:rsidRPr="002255D7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E. coli </w:t>
                            </w: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(STEC)</w:t>
                            </w:r>
                          </w:p>
                          <w:p w14:paraId="6E53C324" w14:textId="0841CDF7" w:rsidR="0066016D" w:rsidRDefault="00BE0A47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Fourteen</w:t>
                            </w:r>
                            <w:r w:rsidR="00DF58A4" w:rsidRPr="0061794E">
                              <w:rPr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233" w:rsidRPr="0061794E">
                              <w:rPr>
                                <w:sz w:val="20"/>
                                <w:szCs w:val="20"/>
                              </w:rPr>
                              <w:t>notifications were culture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61794E">
                              <w:rPr>
                                <w:sz w:val="20"/>
                                <w:szCs w:val="20"/>
                              </w:rPr>
                              <w:t>positive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>, the mos</w:t>
                            </w:r>
                            <w:r w:rsidR="00B90697" w:rsidRPr="0061794E">
                              <w:rPr>
                                <w:sz w:val="20"/>
                                <w:szCs w:val="20"/>
                              </w:rPr>
                              <w:t>t common serotype</w:t>
                            </w:r>
                            <w:r w:rsidR="00B857E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B04133" w:rsidRPr="00617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4C2" w:rsidRPr="0061794E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B857EA">
                              <w:rPr>
                                <w:sz w:val="20"/>
                                <w:szCs w:val="20"/>
                              </w:rPr>
                              <w:t>ere</w:t>
                            </w:r>
                            <w:r w:rsidR="00B044C2" w:rsidRPr="0061794E">
                              <w:rPr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DF58A4" w:rsidRPr="0061794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857EA"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  <w:r w:rsidR="00D92EE3" w:rsidRPr="0061794E">
                              <w:rPr>
                                <w:sz w:val="20"/>
                                <w:szCs w:val="20"/>
                              </w:rPr>
                              <w:t>:H</w:t>
                            </w:r>
                            <w:r w:rsidR="00B857E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760107" w:rsidRPr="0061794E">
                              <w:rPr>
                                <w:sz w:val="20"/>
                                <w:szCs w:val="20"/>
                              </w:rPr>
                              <w:t xml:space="preserve"> (n=</w:t>
                            </w:r>
                            <w:r w:rsidR="00B857E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B04133" w:rsidRPr="0061794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B857EA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B857EA" w:rsidRPr="00F056D0">
                              <w:rPr>
                                <w:sz w:val="20"/>
                                <w:szCs w:val="20"/>
                              </w:rPr>
                              <w:t>O128:H2 (n=3)</w:t>
                            </w:r>
                            <w:r w:rsidR="005D47ED" w:rsidRPr="00F056D0">
                              <w:rPr>
                                <w:sz w:val="20"/>
                                <w:szCs w:val="20"/>
                              </w:rPr>
                              <w:t>. No point</w:t>
                            </w:r>
                            <w:r w:rsidR="00DF58A4" w:rsidRPr="00F056D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D47ED" w:rsidRPr="00F056D0">
                              <w:rPr>
                                <w:sz w:val="20"/>
                                <w:szCs w:val="20"/>
                              </w:rPr>
                              <w:t>source outbreaks were identified</w:t>
                            </w:r>
                            <w:r w:rsidR="00D90AC2" w:rsidRPr="00F056D0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B857EA" w:rsidRPr="00F056D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D90AC2" w:rsidRPr="00F056D0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 w:rsidR="009834E4" w:rsidRPr="00F056D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5D47ED" w:rsidRPr="00F056D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84309" w:rsidRPr="00F056D0">
                              <w:rPr>
                                <w:sz w:val="20"/>
                                <w:szCs w:val="20"/>
                              </w:rPr>
                              <w:t xml:space="preserve">Some of the </w:t>
                            </w:r>
                            <w:r w:rsidR="005D47ED" w:rsidRPr="00F056D0">
                              <w:rPr>
                                <w:sz w:val="20"/>
                                <w:szCs w:val="20"/>
                              </w:rPr>
                              <w:t xml:space="preserve">increase is likely due </w:t>
                            </w:r>
                            <w:r w:rsidR="000102D1" w:rsidRPr="00F056D0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5D47ED" w:rsidRPr="00F05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F056D0">
                              <w:rPr>
                                <w:sz w:val="20"/>
                                <w:szCs w:val="20"/>
                              </w:rPr>
                              <w:t xml:space="preserve">PCR </w:t>
                            </w:r>
                            <w:r w:rsidR="005D47ED" w:rsidRPr="00F056D0">
                              <w:rPr>
                                <w:sz w:val="20"/>
                                <w:szCs w:val="20"/>
                              </w:rPr>
                              <w:t xml:space="preserve">testing </w:t>
                            </w:r>
                            <w:r w:rsidR="009834E4" w:rsidRPr="00F056D0">
                              <w:rPr>
                                <w:sz w:val="20"/>
                                <w:szCs w:val="20"/>
                              </w:rPr>
                              <w:t xml:space="preserve">of all faecal specimens </w:t>
                            </w:r>
                            <w:r w:rsidR="005D47ED" w:rsidRPr="00F056D0">
                              <w:rPr>
                                <w:sz w:val="20"/>
                                <w:szCs w:val="20"/>
                              </w:rPr>
                              <w:t xml:space="preserve">by one private </w:t>
                            </w:r>
                            <w:r w:rsidR="00B90697" w:rsidRPr="00F056D0">
                              <w:rPr>
                                <w:sz w:val="20"/>
                                <w:szCs w:val="20"/>
                              </w:rPr>
                              <w:t>laboratory</w:t>
                            </w:r>
                            <w:r w:rsidR="006414C7" w:rsidRPr="00F05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656" w:rsidRPr="00F056D0">
                              <w:rPr>
                                <w:sz w:val="20"/>
                                <w:szCs w:val="20"/>
                              </w:rPr>
                              <w:t>since</w:t>
                            </w:r>
                            <w:r w:rsidR="00784309" w:rsidRPr="00F056D0">
                              <w:rPr>
                                <w:sz w:val="20"/>
                                <w:szCs w:val="20"/>
                              </w:rPr>
                              <w:t xml:space="preserve"> the fourth quarter</w:t>
                            </w:r>
                            <w:r w:rsidR="006414C7" w:rsidRPr="00F056D0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784309" w:rsidRPr="00F056D0">
                              <w:rPr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="005D47ED" w:rsidRPr="00F056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E9E317" w14:textId="77777777" w:rsidR="00F056D0" w:rsidRPr="008D2F70" w:rsidRDefault="00F056D0" w:rsidP="00F056D0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Haemolytic uraemic syndrome (HUS)</w:t>
                            </w:r>
                          </w:p>
                          <w:p w14:paraId="5F8726D7" w14:textId="6CE66B49" w:rsidR="00F056D0" w:rsidRPr="00F056D0" w:rsidRDefault="00F056D0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34E4">
                              <w:rPr>
                                <w:sz w:val="20"/>
                                <w:szCs w:val="20"/>
                              </w:rPr>
                              <w:t xml:space="preserve">One HUS case was notified 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2C41C4">
                              <w:rPr>
                                <w:sz w:val="20"/>
                                <w:szCs w:val="20"/>
                              </w:rPr>
                              <w:t>Q20. This case was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culture </w:t>
                            </w:r>
                            <w:r w:rsidRPr="002C41C4">
                              <w:rPr>
                                <w:sz w:val="20"/>
                                <w:szCs w:val="20"/>
                              </w:rPr>
                              <w:t>positive for STEC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serotype O26:H11</w:t>
                            </w:r>
                            <w:r w:rsidRPr="002C41C4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  <w:r w:rsidRPr="009834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A13FC2" w14:textId="791A2DEC" w:rsidR="00D03951" w:rsidRPr="00F056D0" w:rsidRDefault="00D03951" w:rsidP="00D0395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56D0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M</w:t>
                            </w:r>
                            <w:r w:rsidR="00F056D0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ulti-drug resistant</w:t>
                            </w:r>
                            <w:r w:rsidRPr="00F056D0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 Shigella</w:t>
                            </w:r>
                          </w:p>
                          <w:p w14:paraId="1E721E3D" w14:textId="44044CBE" w:rsidR="00ED02A8" w:rsidRDefault="00391EB3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56D0">
                              <w:rPr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F056D0" w:rsidRPr="00F056D0">
                              <w:rPr>
                                <w:sz w:val="20"/>
                                <w:szCs w:val="20"/>
                              </w:rPr>
                              <w:t xml:space="preserve">eight notifications of </w:t>
                            </w:r>
                            <w:r w:rsidR="00F056D0" w:rsidRPr="00F056D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Shigella </w:t>
                            </w:r>
                            <w:proofErr w:type="spellStart"/>
                            <w:r w:rsidR="00F056D0" w:rsidRPr="00F056D0">
                              <w:rPr>
                                <w:i/>
                                <w:sz w:val="20"/>
                                <w:szCs w:val="20"/>
                              </w:rPr>
                              <w:t>sonnei</w:t>
                            </w:r>
                            <w:proofErr w:type="spellEnd"/>
                            <w:r w:rsidR="00F056D0" w:rsidRPr="00F056D0">
                              <w:rPr>
                                <w:sz w:val="20"/>
                                <w:szCs w:val="20"/>
                              </w:rPr>
                              <w:t xml:space="preserve"> Biotype G</w:t>
                            </w:r>
                            <w:r w:rsidR="00E15960">
                              <w:rPr>
                                <w:sz w:val="20"/>
                                <w:szCs w:val="20"/>
                              </w:rPr>
                              <w:t xml:space="preserve"> in 3Q20</w:t>
                            </w:r>
                            <w:r w:rsidR="00F056D0" w:rsidRPr="00F056D0">
                              <w:rPr>
                                <w:sz w:val="20"/>
                                <w:szCs w:val="20"/>
                              </w:rPr>
                              <w:t>, s</w:t>
                            </w:r>
                            <w:r w:rsidR="009547C7">
                              <w:rPr>
                                <w:sz w:val="20"/>
                                <w:szCs w:val="20"/>
                              </w:rPr>
                              <w:t>even</w:t>
                            </w:r>
                            <w:r w:rsidR="00F056D0" w:rsidRPr="00F056D0">
                              <w:rPr>
                                <w:sz w:val="20"/>
                                <w:szCs w:val="20"/>
                              </w:rPr>
                              <w:t xml:space="preserve"> were alerted as multi-drug resistant. </w:t>
                            </w:r>
                            <w:r w:rsidR="009547C7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E15960">
                              <w:rPr>
                                <w:sz w:val="20"/>
                                <w:szCs w:val="20"/>
                              </w:rPr>
                              <w:t>ive able to be followed up had</w:t>
                            </w:r>
                            <w:r w:rsidR="00F056D0">
                              <w:rPr>
                                <w:sz w:val="20"/>
                                <w:szCs w:val="20"/>
                              </w:rPr>
                              <w:t xml:space="preserve"> onsets</w:t>
                            </w:r>
                            <w:r w:rsidR="00F056D0" w:rsidRPr="00F056D0">
                              <w:rPr>
                                <w:sz w:val="20"/>
                                <w:szCs w:val="20"/>
                              </w:rPr>
                              <w:t xml:space="preserve"> between 20/08/2020 – 2</w:t>
                            </w:r>
                            <w:r w:rsidR="009547C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056D0" w:rsidRPr="00F056D0">
                              <w:rPr>
                                <w:sz w:val="20"/>
                                <w:szCs w:val="20"/>
                              </w:rPr>
                              <w:t xml:space="preserve">/09/2020 </w:t>
                            </w:r>
                            <w:r w:rsidR="00E15960">
                              <w:rPr>
                                <w:sz w:val="20"/>
                                <w:szCs w:val="20"/>
                              </w:rPr>
                              <w:t xml:space="preserve">and all </w:t>
                            </w:r>
                            <w:r w:rsidR="00F056D0" w:rsidRPr="00F056D0">
                              <w:rPr>
                                <w:sz w:val="20"/>
                                <w:szCs w:val="20"/>
                              </w:rPr>
                              <w:t xml:space="preserve">were men </w:t>
                            </w:r>
                            <w:r w:rsidR="009547C7" w:rsidRPr="00F056D0">
                              <w:rPr>
                                <w:sz w:val="20"/>
                                <w:szCs w:val="20"/>
                              </w:rPr>
                              <w:t>in the Perth metro area</w:t>
                            </w:r>
                            <w:r w:rsidR="009547C7" w:rsidRPr="009547C7">
                              <w:rPr>
                                <w:sz w:val="20"/>
                                <w:szCs w:val="20"/>
                              </w:rPr>
                              <w:t xml:space="preserve"> thought to have acquired</w:t>
                            </w:r>
                            <w:r w:rsidR="009547C7">
                              <w:rPr>
                                <w:sz w:val="20"/>
                                <w:szCs w:val="20"/>
                              </w:rPr>
                              <w:t xml:space="preserve"> infection</w:t>
                            </w:r>
                            <w:r w:rsidR="009547C7" w:rsidRPr="009547C7">
                              <w:rPr>
                                <w:sz w:val="20"/>
                                <w:szCs w:val="20"/>
                              </w:rPr>
                              <w:t xml:space="preserve"> through male to male sexual contact</w:t>
                            </w:r>
                            <w:r w:rsidR="00F056D0" w:rsidRPr="00F056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05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FEBBD7" w14:textId="77777777"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78EAFE" w14:textId="77777777" w:rsidR="00ED02A8" w:rsidRDefault="00ED02A8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EDBDB7A" w14:textId="77777777" w:rsidR="00600F2C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37FC2EC" w14:textId="77777777" w:rsidR="00600F2C" w:rsidRPr="00627EBE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76584EA" w14:textId="77777777" w:rsidR="0064799B" w:rsidRPr="0064799B" w:rsidRDefault="0064799B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B853" id="_x0000_s1035" type="#_x0000_t202" style="position:absolute;margin-left:-38.25pt;margin-top:-18.75pt;width:528.25pt;height:242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" fillcolor="#d7dded [671]" stroked="f">
                <v:fill opacity="32896f"/>
                <v:textbox>
                  <w:txbxContent>
                    <w:p w14:paraId="77A417FF" w14:textId="7A33764C" w:rsidR="009C4DFF" w:rsidRPr="008D2F70" w:rsidRDefault="00D03951" w:rsidP="009C4DFF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 w:rsidRPr="003D2322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Listeria</w:t>
                      </w:r>
                    </w:p>
                    <w:p w14:paraId="583E3BE9" w14:textId="38BF913A" w:rsidR="003C1946" w:rsidRPr="009A7D15" w:rsidRDefault="00F770DD" w:rsidP="008975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Four listeria cases were notified in 3Q20</w:t>
                      </w:r>
                      <w:r w:rsidR="003D2322">
                        <w:rPr>
                          <w:sz w:val="20"/>
                          <w:szCs w:val="20"/>
                        </w:rPr>
                        <w:t>, including</w:t>
                      </w:r>
                      <w:r>
                        <w:rPr>
                          <w:sz w:val="20"/>
                          <w:szCs w:val="20"/>
                        </w:rPr>
                        <w:t xml:space="preserve"> one perinatal pair</w:t>
                      </w:r>
                      <w:r w:rsidR="00264633" w:rsidRPr="009A7D15">
                        <w:rPr>
                          <w:sz w:val="20"/>
                          <w:szCs w:val="20"/>
                        </w:rPr>
                        <w:t>.</w:t>
                      </w:r>
                      <w:r w:rsidR="003D2322">
                        <w:rPr>
                          <w:sz w:val="20"/>
                          <w:szCs w:val="20"/>
                        </w:rPr>
                        <w:t xml:space="preserve"> The infant</w:t>
                      </w:r>
                      <w:r w:rsidR="00F056D0">
                        <w:rPr>
                          <w:sz w:val="20"/>
                          <w:szCs w:val="20"/>
                        </w:rPr>
                        <w:t>,</w:t>
                      </w:r>
                      <w:r w:rsidR="003D2322">
                        <w:rPr>
                          <w:sz w:val="20"/>
                          <w:szCs w:val="20"/>
                        </w:rPr>
                        <w:t xml:space="preserve"> born prematurely</w:t>
                      </w:r>
                      <w:r w:rsidR="00F056D0">
                        <w:rPr>
                          <w:sz w:val="20"/>
                          <w:szCs w:val="20"/>
                        </w:rPr>
                        <w:t>,</w:t>
                      </w:r>
                      <w:r w:rsidR="003D2322">
                        <w:rPr>
                          <w:sz w:val="20"/>
                          <w:szCs w:val="20"/>
                        </w:rPr>
                        <w:t xml:space="preserve"> survived. The two non-perinatal cases were an 85-year-old female and 62-year-old male who were both on chemotherapy for terminal cancer. Both cases passed away. All cases had eaten </w:t>
                      </w:r>
                      <w:r w:rsidR="00F056D0">
                        <w:rPr>
                          <w:sz w:val="20"/>
                          <w:szCs w:val="20"/>
                        </w:rPr>
                        <w:t>multiple high-risk</w:t>
                      </w:r>
                      <w:r w:rsidR="003D2322">
                        <w:rPr>
                          <w:sz w:val="20"/>
                          <w:szCs w:val="20"/>
                        </w:rPr>
                        <w:t xml:space="preserve"> foods during their incubation. Environmental investigation did not identify any implicated food</w:t>
                      </w:r>
                      <w:r w:rsidR="00F056D0">
                        <w:rPr>
                          <w:sz w:val="20"/>
                          <w:szCs w:val="20"/>
                        </w:rPr>
                        <w:t xml:space="preserve"> products</w:t>
                      </w:r>
                      <w:r w:rsidR="003D2322">
                        <w:rPr>
                          <w:sz w:val="20"/>
                          <w:szCs w:val="20"/>
                        </w:rPr>
                        <w:t xml:space="preserve"> and typing for cases were unique.  </w:t>
                      </w:r>
                    </w:p>
                    <w:p w14:paraId="25FCCD11" w14:textId="77777777" w:rsidR="00E26D2C" w:rsidRPr="00760107" w:rsidRDefault="00E26D2C" w:rsidP="005D47E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Shiga toxin producing </w:t>
                      </w:r>
                      <w:r w:rsidRPr="002255D7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 xml:space="preserve">E. coli </w:t>
                      </w: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(STEC)</w:t>
                      </w:r>
                    </w:p>
                    <w:p w14:paraId="6E53C324" w14:textId="0841CDF7" w:rsidR="0066016D" w:rsidRDefault="00BE0A47" w:rsidP="005D47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Fourteen</w:t>
                      </w:r>
                      <w:r w:rsidR="00DF58A4" w:rsidRPr="0061794E">
                        <w:rPr>
                          <w:sz w:val="20"/>
                          <w:szCs w:val="20"/>
                        </w:rPr>
                        <w:t xml:space="preserve"> of the </w:t>
                      </w:r>
                      <w:r>
                        <w:rPr>
                          <w:sz w:val="20"/>
                          <w:szCs w:val="20"/>
                        </w:rPr>
                        <w:t>22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5233" w:rsidRPr="0061794E">
                        <w:rPr>
                          <w:sz w:val="20"/>
                          <w:szCs w:val="20"/>
                        </w:rPr>
                        <w:t>notifications were culture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61794E">
                        <w:rPr>
                          <w:sz w:val="20"/>
                          <w:szCs w:val="20"/>
                        </w:rPr>
                        <w:t>positive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>, the mos</w:t>
                      </w:r>
                      <w:r w:rsidR="00B90697" w:rsidRPr="0061794E">
                        <w:rPr>
                          <w:sz w:val="20"/>
                          <w:szCs w:val="20"/>
                        </w:rPr>
                        <w:t>t common serotype</w:t>
                      </w:r>
                      <w:r w:rsidR="00B857EA">
                        <w:rPr>
                          <w:sz w:val="20"/>
                          <w:szCs w:val="20"/>
                        </w:rPr>
                        <w:t>s</w:t>
                      </w:r>
                      <w:r w:rsidR="00B04133" w:rsidRPr="006179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44C2" w:rsidRPr="0061794E">
                        <w:rPr>
                          <w:sz w:val="20"/>
                          <w:szCs w:val="20"/>
                        </w:rPr>
                        <w:t>w</w:t>
                      </w:r>
                      <w:r w:rsidR="00B857EA">
                        <w:rPr>
                          <w:sz w:val="20"/>
                          <w:szCs w:val="20"/>
                        </w:rPr>
                        <w:t>ere</w:t>
                      </w:r>
                      <w:r w:rsidR="00B044C2" w:rsidRPr="0061794E">
                        <w:rPr>
                          <w:sz w:val="20"/>
                          <w:szCs w:val="20"/>
                        </w:rPr>
                        <w:t xml:space="preserve"> O</w:t>
                      </w:r>
                      <w:r w:rsidR="00DF58A4" w:rsidRPr="0061794E">
                        <w:rPr>
                          <w:sz w:val="20"/>
                          <w:szCs w:val="20"/>
                        </w:rPr>
                        <w:t>1</w:t>
                      </w:r>
                      <w:r w:rsidR="00B857EA">
                        <w:rPr>
                          <w:sz w:val="20"/>
                          <w:szCs w:val="20"/>
                        </w:rPr>
                        <w:t>57</w:t>
                      </w:r>
                      <w:r w:rsidR="00D92EE3" w:rsidRPr="0061794E">
                        <w:rPr>
                          <w:sz w:val="20"/>
                          <w:szCs w:val="20"/>
                        </w:rPr>
                        <w:t>:H</w:t>
                      </w:r>
                      <w:r w:rsidR="00B857EA">
                        <w:rPr>
                          <w:sz w:val="20"/>
                          <w:szCs w:val="20"/>
                        </w:rPr>
                        <w:t>7</w:t>
                      </w:r>
                      <w:r w:rsidR="00760107" w:rsidRPr="0061794E">
                        <w:rPr>
                          <w:sz w:val="20"/>
                          <w:szCs w:val="20"/>
                        </w:rPr>
                        <w:t xml:space="preserve"> (n=</w:t>
                      </w:r>
                      <w:r w:rsidR="00B857EA">
                        <w:rPr>
                          <w:sz w:val="20"/>
                          <w:szCs w:val="20"/>
                        </w:rPr>
                        <w:t>6</w:t>
                      </w:r>
                      <w:r w:rsidR="00B04133" w:rsidRPr="0061794E">
                        <w:rPr>
                          <w:sz w:val="20"/>
                          <w:szCs w:val="20"/>
                        </w:rPr>
                        <w:t>)</w:t>
                      </w:r>
                      <w:r w:rsidR="00B857EA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B857EA" w:rsidRPr="00F056D0">
                        <w:rPr>
                          <w:sz w:val="20"/>
                          <w:szCs w:val="20"/>
                        </w:rPr>
                        <w:t>O128:H2 (n=3)</w:t>
                      </w:r>
                      <w:r w:rsidR="005D47ED" w:rsidRPr="00F056D0">
                        <w:rPr>
                          <w:sz w:val="20"/>
                          <w:szCs w:val="20"/>
                        </w:rPr>
                        <w:t>. No point</w:t>
                      </w:r>
                      <w:r w:rsidR="00DF58A4" w:rsidRPr="00F056D0">
                        <w:rPr>
                          <w:sz w:val="20"/>
                          <w:szCs w:val="20"/>
                        </w:rPr>
                        <w:t>-</w:t>
                      </w:r>
                      <w:r w:rsidR="005D47ED" w:rsidRPr="00F056D0">
                        <w:rPr>
                          <w:sz w:val="20"/>
                          <w:szCs w:val="20"/>
                        </w:rPr>
                        <w:t>source outbreaks were identified</w:t>
                      </w:r>
                      <w:r w:rsidR="00D90AC2" w:rsidRPr="00F056D0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="00B857EA" w:rsidRPr="00F056D0">
                        <w:rPr>
                          <w:sz w:val="20"/>
                          <w:szCs w:val="20"/>
                        </w:rPr>
                        <w:t>3</w:t>
                      </w:r>
                      <w:r w:rsidR="00D90AC2" w:rsidRPr="00F056D0">
                        <w:rPr>
                          <w:sz w:val="20"/>
                          <w:szCs w:val="20"/>
                        </w:rPr>
                        <w:t>Q</w:t>
                      </w:r>
                      <w:r w:rsidR="009834E4" w:rsidRPr="00F056D0">
                        <w:rPr>
                          <w:sz w:val="20"/>
                          <w:szCs w:val="20"/>
                        </w:rPr>
                        <w:t>20</w:t>
                      </w:r>
                      <w:r w:rsidR="005D47ED" w:rsidRPr="00F056D0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84309" w:rsidRPr="00F056D0">
                        <w:rPr>
                          <w:sz w:val="20"/>
                          <w:szCs w:val="20"/>
                        </w:rPr>
                        <w:t xml:space="preserve">Some of the </w:t>
                      </w:r>
                      <w:r w:rsidR="005D47ED" w:rsidRPr="00F056D0">
                        <w:rPr>
                          <w:sz w:val="20"/>
                          <w:szCs w:val="20"/>
                        </w:rPr>
                        <w:t xml:space="preserve">increase is likely due </w:t>
                      </w:r>
                      <w:r w:rsidR="000102D1" w:rsidRPr="00F056D0">
                        <w:rPr>
                          <w:sz w:val="20"/>
                          <w:szCs w:val="20"/>
                        </w:rPr>
                        <w:t>to</w:t>
                      </w:r>
                      <w:r w:rsidR="005D47ED" w:rsidRPr="00F056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F056D0">
                        <w:rPr>
                          <w:sz w:val="20"/>
                          <w:szCs w:val="20"/>
                        </w:rPr>
                        <w:t xml:space="preserve">PCR </w:t>
                      </w:r>
                      <w:r w:rsidR="005D47ED" w:rsidRPr="00F056D0">
                        <w:rPr>
                          <w:sz w:val="20"/>
                          <w:szCs w:val="20"/>
                        </w:rPr>
                        <w:t xml:space="preserve">testing </w:t>
                      </w:r>
                      <w:r w:rsidR="009834E4" w:rsidRPr="00F056D0">
                        <w:rPr>
                          <w:sz w:val="20"/>
                          <w:szCs w:val="20"/>
                        </w:rPr>
                        <w:t xml:space="preserve">of all faecal specimens </w:t>
                      </w:r>
                      <w:r w:rsidR="005D47ED" w:rsidRPr="00F056D0">
                        <w:rPr>
                          <w:sz w:val="20"/>
                          <w:szCs w:val="20"/>
                        </w:rPr>
                        <w:t xml:space="preserve">by one private </w:t>
                      </w:r>
                      <w:r w:rsidR="00B90697" w:rsidRPr="00F056D0">
                        <w:rPr>
                          <w:sz w:val="20"/>
                          <w:szCs w:val="20"/>
                        </w:rPr>
                        <w:t>laboratory</w:t>
                      </w:r>
                      <w:r w:rsidR="006414C7" w:rsidRPr="00F056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656" w:rsidRPr="00F056D0">
                        <w:rPr>
                          <w:sz w:val="20"/>
                          <w:szCs w:val="20"/>
                        </w:rPr>
                        <w:t>since</w:t>
                      </w:r>
                      <w:r w:rsidR="00784309" w:rsidRPr="00F056D0">
                        <w:rPr>
                          <w:sz w:val="20"/>
                          <w:szCs w:val="20"/>
                        </w:rPr>
                        <w:t xml:space="preserve"> the fourth quarter</w:t>
                      </w:r>
                      <w:r w:rsidR="006414C7" w:rsidRPr="00F056D0">
                        <w:rPr>
                          <w:sz w:val="20"/>
                          <w:szCs w:val="20"/>
                        </w:rPr>
                        <w:t xml:space="preserve"> of</w:t>
                      </w:r>
                      <w:r w:rsidR="00784309" w:rsidRPr="00F056D0">
                        <w:rPr>
                          <w:sz w:val="20"/>
                          <w:szCs w:val="20"/>
                        </w:rPr>
                        <w:t xml:space="preserve"> 2018</w:t>
                      </w:r>
                      <w:r w:rsidR="005D47ED" w:rsidRPr="00F056D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EE9E317" w14:textId="77777777" w:rsidR="00F056D0" w:rsidRPr="008D2F70" w:rsidRDefault="00F056D0" w:rsidP="00F056D0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Haemolytic uraemic syndrome (HUS)</w:t>
                      </w:r>
                    </w:p>
                    <w:p w14:paraId="5F8726D7" w14:textId="6CE66B49" w:rsidR="00F056D0" w:rsidRPr="00F056D0" w:rsidRDefault="00F056D0" w:rsidP="005D47ED">
                      <w:pPr>
                        <w:rPr>
                          <w:sz w:val="20"/>
                          <w:szCs w:val="20"/>
                        </w:rPr>
                      </w:pPr>
                      <w:r w:rsidRPr="009834E4">
                        <w:rPr>
                          <w:sz w:val="20"/>
                          <w:szCs w:val="20"/>
                        </w:rPr>
                        <w:t xml:space="preserve">One HUS case was notified in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2C41C4">
                        <w:rPr>
                          <w:sz w:val="20"/>
                          <w:szCs w:val="20"/>
                        </w:rPr>
                        <w:t>Q20. This case was</w:t>
                      </w:r>
                      <w:r>
                        <w:rPr>
                          <w:sz w:val="20"/>
                          <w:szCs w:val="20"/>
                        </w:rPr>
                        <w:t xml:space="preserve"> culture </w:t>
                      </w:r>
                      <w:r w:rsidRPr="002C41C4">
                        <w:rPr>
                          <w:sz w:val="20"/>
                          <w:szCs w:val="20"/>
                        </w:rPr>
                        <w:t>positive for STEC (</w:t>
                      </w:r>
                      <w:r>
                        <w:rPr>
                          <w:sz w:val="20"/>
                          <w:szCs w:val="20"/>
                        </w:rPr>
                        <w:t>serotype O26:H11</w:t>
                      </w:r>
                      <w:r w:rsidRPr="002C41C4">
                        <w:rPr>
                          <w:sz w:val="20"/>
                          <w:szCs w:val="20"/>
                        </w:rPr>
                        <w:t>).</w:t>
                      </w:r>
                      <w:r w:rsidRPr="009834E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A13FC2" w14:textId="791A2DEC" w:rsidR="00D03951" w:rsidRPr="00F056D0" w:rsidRDefault="00D03951" w:rsidP="00D0395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056D0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M</w:t>
                      </w:r>
                      <w:r w:rsidR="00F056D0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ulti-drug resistant</w:t>
                      </w:r>
                      <w:r w:rsidRPr="00F056D0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 Shigella</w:t>
                      </w:r>
                    </w:p>
                    <w:p w14:paraId="1E721E3D" w14:textId="44044CBE" w:rsidR="00ED02A8" w:rsidRDefault="00391EB3" w:rsidP="005D47ED">
                      <w:pPr>
                        <w:rPr>
                          <w:sz w:val="20"/>
                          <w:szCs w:val="20"/>
                        </w:rPr>
                      </w:pPr>
                      <w:r w:rsidRPr="00F056D0">
                        <w:rPr>
                          <w:sz w:val="20"/>
                          <w:szCs w:val="20"/>
                        </w:rPr>
                        <w:t xml:space="preserve">Of </w:t>
                      </w:r>
                      <w:r w:rsidR="00F056D0" w:rsidRPr="00F056D0">
                        <w:rPr>
                          <w:sz w:val="20"/>
                          <w:szCs w:val="20"/>
                        </w:rPr>
                        <w:t xml:space="preserve">eight notifications of </w:t>
                      </w:r>
                      <w:r w:rsidR="00F056D0" w:rsidRPr="00F056D0">
                        <w:rPr>
                          <w:i/>
                          <w:sz w:val="20"/>
                          <w:szCs w:val="20"/>
                        </w:rPr>
                        <w:t xml:space="preserve">Shigella </w:t>
                      </w:r>
                      <w:proofErr w:type="spellStart"/>
                      <w:r w:rsidR="00F056D0" w:rsidRPr="00F056D0">
                        <w:rPr>
                          <w:i/>
                          <w:sz w:val="20"/>
                          <w:szCs w:val="20"/>
                        </w:rPr>
                        <w:t>sonnei</w:t>
                      </w:r>
                      <w:proofErr w:type="spellEnd"/>
                      <w:r w:rsidR="00F056D0" w:rsidRPr="00F056D0">
                        <w:rPr>
                          <w:sz w:val="20"/>
                          <w:szCs w:val="20"/>
                        </w:rPr>
                        <w:t xml:space="preserve"> Biotype G</w:t>
                      </w:r>
                      <w:r w:rsidR="00E15960">
                        <w:rPr>
                          <w:sz w:val="20"/>
                          <w:szCs w:val="20"/>
                        </w:rPr>
                        <w:t xml:space="preserve"> in 3Q20</w:t>
                      </w:r>
                      <w:r w:rsidR="00F056D0" w:rsidRPr="00F056D0">
                        <w:rPr>
                          <w:sz w:val="20"/>
                          <w:szCs w:val="20"/>
                        </w:rPr>
                        <w:t>, s</w:t>
                      </w:r>
                      <w:r w:rsidR="009547C7">
                        <w:rPr>
                          <w:sz w:val="20"/>
                          <w:szCs w:val="20"/>
                        </w:rPr>
                        <w:t>even</w:t>
                      </w:r>
                      <w:r w:rsidR="00F056D0" w:rsidRPr="00F056D0">
                        <w:rPr>
                          <w:sz w:val="20"/>
                          <w:szCs w:val="20"/>
                        </w:rPr>
                        <w:t xml:space="preserve"> were alerted as multi-drug resistant. </w:t>
                      </w:r>
                      <w:r w:rsidR="009547C7">
                        <w:rPr>
                          <w:sz w:val="20"/>
                          <w:szCs w:val="20"/>
                        </w:rPr>
                        <w:t>F</w:t>
                      </w:r>
                      <w:r w:rsidR="00E15960">
                        <w:rPr>
                          <w:sz w:val="20"/>
                          <w:szCs w:val="20"/>
                        </w:rPr>
                        <w:t>ive able to be followed up had</w:t>
                      </w:r>
                      <w:r w:rsidR="00F056D0">
                        <w:rPr>
                          <w:sz w:val="20"/>
                          <w:szCs w:val="20"/>
                        </w:rPr>
                        <w:t xml:space="preserve"> onsets</w:t>
                      </w:r>
                      <w:r w:rsidR="00F056D0" w:rsidRPr="00F056D0">
                        <w:rPr>
                          <w:sz w:val="20"/>
                          <w:szCs w:val="20"/>
                        </w:rPr>
                        <w:t xml:space="preserve"> between 20/08/2020 – 2</w:t>
                      </w:r>
                      <w:r w:rsidR="009547C7">
                        <w:rPr>
                          <w:sz w:val="20"/>
                          <w:szCs w:val="20"/>
                        </w:rPr>
                        <w:t>1</w:t>
                      </w:r>
                      <w:r w:rsidR="00F056D0" w:rsidRPr="00F056D0">
                        <w:rPr>
                          <w:sz w:val="20"/>
                          <w:szCs w:val="20"/>
                        </w:rPr>
                        <w:t xml:space="preserve">/09/2020 </w:t>
                      </w:r>
                      <w:r w:rsidR="00E15960">
                        <w:rPr>
                          <w:sz w:val="20"/>
                          <w:szCs w:val="20"/>
                        </w:rPr>
                        <w:t xml:space="preserve">and all </w:t>
                      </w:r>
                      <w:r w:rsidR="00F056D0" w:rsidRPr="00F056D0">
                        <w:rPr>
                          <w:sz w:val="20"/>
                          <w:szCs w:val="20"/>
                        </w:rPr>
                        <w:t xml:space="preserve">were men </w:t>
                      </w:r>
                      <w:r w:rsidR="009547C7" w:rsidRPr="00F056D0">
                        <w:rPr>
                          <w:sz w:val="20"/>
                          <w:szCs w:val="20"/>
                        </w:rPr>
                        <w:t>in the Perth metro area</w:t>
                      </w:r>
                      <w:r w:rsidR="009547C7" w:rsidRPr="009547C7">
                        <w:rPr>
                          <w:sz w:val="20"/>
                          <w:szCs w:val="20"/>
                        </w:rPr>
                        <w:t xml:space="preserve"> thought to have acquired</w:t>
                      </w:r>
                      <w:r w:rsidR="009547C7">
                        <w:rPr>
                          <w:sz w:val="20"/>
                          <w:szCs w:val="20"/>
                        </w:rPr>
                        <w:t xml:space="preserve"> infection</w:t>
                      </w:r>
                      <w:r w:rsidR="009547C7" w:rsidRPr="009547C7">
                        <w:rPr>
                          <w:sz w:val="20"/>
                          <w:szCs w:val="20"/>
                        </w:rPr>
                        <w:t xml:space="preserve"> through male to male sexual contact</w:t>
                      </w:r>
                      <w:r w:rsidR="00F056D0" w:rsidRPr="00F056D0">
                        <w:rPr>
                          <w:sz w:val="20"/>
                          <w:szCs w:val="20"/>
                        </w:rPr>
                        <w:t>.</w:t>
                      </w:r>
                      <w:r w:rsidR="00F056D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FEBBD7" w14:textId="77777777"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78EAFE" w14:textId="77777777" w:rsidR="00ED02A8" w:rsidRDefault="00ED02A8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6EDBDB7A" w14:textId="77777777" w:rsidR="00600F2C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037FC2EC" w14:textId="77777777" w:rsidR="00600F2C" w:rsidRPr="00627EBE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76584EA" w14:textId="77777777" w:rsidR="0064799B" w:rsidRPr="0064799B" w:rsidRDefault="0064799B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4E5D2" w14:textId="6DCCBC36" w:rsidR="00DB0727" w:rsidRPr="00DB0727" w:rsidRDefault="00DB0727" w:rsidP="00DB0727"/>
    <w:p w14:paraId="109187DA" w14:textId="77777777" w:rsidR="00DB0727" w:rsidRPr="00DB0727" w:rsidRDefault="00DB0727" w:rsidP="00DB0727"/>
    <w:p w14:paraId="3A157283" w14:textId="3813DDEF" w:rsidR="00DB0727" w:rsidRDefault="00DB0727" w:rsidP="00DB0727"/>
    <w:p w14:paraId="63D6EDE5" w14:textId="5DF01E1C" w:rsidR="00D173B1" w:rsidRPr="00DB0727" w:rsidRDefault="00D173B1" w:rsidP="00DB0727"/>
    <w:p w14:paraId="47715005" w14:textId="12D7AC2C" w:rsidR="00DB0727" w:rsidRPr="00DB0727" w:rsidRDefault="00DB0727" w:rsidP="00DB0727"/>
    <w:p w14:paraId="6117A3E2" w14:textId="77777777" w:rsidR="00DB0727" w:rsidRPr="00DB0727" w:rsidRDefault="00DB0727" w:rsidP="00DB0727"/>
    <w:p w14:paraId="62F70DA9" w14:textId="739CF9C5" w:rsidR="00DB0727" w:rsidRPr="00DB0727" w:rsidRDefault="00DB0727" w:rsidP="00DB0727"/>
    <w:p w14:paraId="3AD3F033" w14:textId="6B1E3A39" w:rsidR="00DB0727" w:rsidRPr="00DB0727" w:rsidRDefault="00DB0727" w:rsidP="00DB0727"/>
    <w:p w14:paraId="6FB2AC44" w14:textId="77777777" w:rsidR="00DB0727" w:rsidRPr="00DB0727" w:rsidRDefault="00DB0727" w:rsidP="00DB0727"/>
    <w:p w14:paraId="3487A171" w14:textId="77777777" w:rsidR="00DB0727" w:rsidRPr="00DB0727" w:rsidRDefault="00DB0727" w:rsidP="00DB0727"/>
    <w:p w14:paraId="5CFE8EC2" w14:textId="085EC1D4" w:rsidR="005D47ED" w:rsidRPr="00DB0727" w:rsidRDefault="005D47ED" w:rsidP="00DB0727">
      <w:pPr>
        <w:tabs>
          <w:tab w:val="left" w:pos="1753"/>
        </w:tabs>
      </w:pPr>
    </w:p>
    <w:sectPr w:rsidR="005D47ED" w:rsidRPr="00DB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87AB" w14:textId="77777777" w:rsidR="00F16266" w:rsidRDefault="00F16266" w:rsidP="00F16266">
      <w:pPr>
        <w:spacing w:after="0"/>
      </w:pPr>
      <w:r>
        <w:separator/>
      </w:r>
    </w:p>
  </w:endnote>
  <w:endnote w:type="continuationSeparator" w:id="0">
    <w:p w14:paraId="5C3669F7" w14:textId="77777777" w:rsidR="00F16266" w:rsidRDefault="00F16266" w:rsidP="00F16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AE23" w14:textId="77777777" w:rsidR="00F16266" w:rsidRDefault="00F16266" w:rsidP="00F16266">
      <w:pPr>
        <w:spacing w:after="0"/>
      </w:pPr>
      <w:r>
        <w:separator/>
      </w:r>
    </w:p>
  </w:footnote>
  <w:footnote w:type="continuationSeparator" w:id="0">
    <w:p w14:paraId="6E650084" w14:textId="77777777" w:rsidR="00F16266" w:rsidRDefault="00F16266" w:rsidP="00F16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32"/>
    <w:multiLevelType w:val="hybridMultilevel"/>
    <w:tmpl w:val="10D4FB6A"/>
    <w:lvl w:ilvl="0" w:tplc="EDB0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03"/>
    <w:multiLevelType w:val="hybridMultilevel"/>
    <w:tmpl w:val="2D30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02E"/>
    <w:multiLevelType w:val="hybridMultilevel"/>
    <w:tmpl w:val="AF889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DA023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F0"/>
    <w:rsid w:val="00002E4E"/>
    <w:rsid w:val="000102D1"/>
    <w:rsid w:val="00070BEF"/>
    <w:rsid w:val="00090F48"/>
    <w:rsid w:val="0009316F"/>
    <w:rsid w:val="000A14BB"/>
    <w:rsid w:val="000D2CB1"/>
    <w:rsid w:val="0012565F"/>
    <w:rsid w:val="0014114D"/>
    <w:rsid w:val="001437E0"/>
    <w:rsid w:val="00143F9C"/>
    <w:rsid w:val="00145A4C"/>
    <w:rsid w:val="0014646C"/>
    <w:rsid w:val="00171B7B"/>
    <w:rsid w:val="00171EAF"/>
    <w:rsid w:val="00193081"/>
    <w:rsid w:val="001B7A2B"/>
    <w:rsid w:val="001C6153"/>
    <w:rsid w:val="001C7D1F"/>
    <w:rsid w:val="001E1034"/>
    <w:rsid w:val="001F6030"/>
    <w:rsid w:val="001F68E9"/>
    <w:rsid w:val="00220E8F"/>
    <w:rsid w:val="002255D7"/>
    <w:rsid w:val="00230C04"/>
    <w:rsid w:val="00240211"/>
    <w:rsid w:val="0024249E"/>
    <w:rsid w:val="00243C14"/>
    <w:rsid w:val="00244660"/>
    <w:rsid w:val="00256108"/>
    <w:rsid w:val="00261678"/>
    <w:rsid w:val="00264633"/>
    <w:rsid w:val="00276AC9"/>
    <w:rsid w:val="002848B3"/>
    <w:rsid w:val="002856CA"/>
    <w:rsid w:val="00286B46"/>
    <w:rsid w:val="002A1586"/>
    <w:rsid w:val="002C41C4"/>
    <w:rsid w:val="002C7D7D"/>
    <w:rsid w:val="002D5423"/>
    <w:rsid w:val="002E49F5"/>
    <w:rsid w:val="002F24A7"/>
    <w:rsid w:val="00311B5E"/>
    <w:rsid w:val="00316213"/>
    <w:rsid w:val="003352B9"/>
    <w:rsid w:val="00355004"/>
    <w:rsid w:val="00380645"/>
    <w:rsid w:val="00391EB3"/>
    <w:rsid w:val="003929E7"/>
    <w:rsid w:val="003C1946"/>
    <w:rsid w:val="003D2322"/>
    <w:rsid w:val="0041266A"/>
    <w:rsid w:val="004175D4"/>
    <w:rsid w:val="004230AE"/>
    <w:rsid w:val="004276EA"/>
    <w:rsid w:val="0044132B"/>
    <w:rsid w:val="004453BF"/>
    <w:rsid w:val="00447A73"/>
    <w:rsid w:val="004659B0"/>
    <w:rsid w:val="00466DB9"/>
    <w:rsid w:val="00471692"/>
    <w:rsid w:val="00490481"/>
    <w:rsid w:val="00492250"/>
    <w:rsid w:val="00493FBA"/>
    <w:rsid w:val="004A609E"/>
    <w:rsid w:val="004C104B"/>
    <w:rsid w:val="004C2780"/>
    <w:rsid w:val="004C6976"/>
    <w:rsid w:val="00507189"/>
    <w:rsid w:val="005077EF"/>
    <w:rsid w:val="00554DF8"/>
    <w:rsid w:val="0055717E"/>
    <w:rsid w:val="0056716B"/>
    <w:rsid w:val="00593DE2"/>
    <w:rsid w:val="00594333"/>
    <w:rsid w:val="005A3015"/>
    <w:rsid w:val="005A409E"/>
    <w:rsid w:val="005D00F4"/>
    <w:rsid w:val="005D47ED"/>
    <w:rsid w:val="005F7A57"/>
    <w:rsid w:val="00600F2C"/>
    <w:rsid w:val="00601483"/>
    <w:rsid w:val="0061606C"/>
    <w:rsid w:val="0061794E"/>
    <w:rsid w:val="00627EBE"/>
    <w:rsid w:val="00630370"/>
    <w:rsid w:val="0064090A"/>
    <w:rsid w:val="006414C7"/>
    <w:rsid w:val="00641DA6"/>
    <w:rsid w:val="006441F7"/>
    <w:rsid w:val="0064799B"/>
    <w:rsid w:val="0066016D"/>
    <w:rsid w:val="0069342F"/>
    <w:rsid w:val="006E46C4"/>
    <w:rsid w:val="006F36F0"/>
    <w:rsid w:val="006F52D0"/>
    <w:rsid w:val="00712477"/>
    <w:rsid w:val="00732A7B"/>
    <w:rsid w:val="0073680C"/>
    <w:rsid w:val="007548BA"/>
    <w:rsid w:val="00760107"/>
    <w:rsid w:val="0077027C"/>
    <w:rsid w:val="00784309"/>
    <w:rsid w:val="007A4E48"/>
    <w:rsid w:val="007B47D8"/>
    <w:rsid w:val="007D7512"/>
    <w:rsid w:val="007D793C"/>
    <w:rsid w:val="007F410D"/>
    <w:rsid w:val="00802EC3"/>
    <w:rsid w:val="00827C96"/>
    <w:rsid w:val="008449C2"/>
    <w:rsid w:val="0087065F"/>
    <w:rsid w:val="00881846"/>
    <w:rsid w:val="008975CB"/>
    <w:rsid w:val="00897837"/>
    <w:rsid w:val="008979F5"/>
    <w:rsid w:val="008A1656"/>
    <w:rsid w:val="008B0432"/>
    <w:rsid w:val="008C56B7"/>
    <w:rsid w:val="008D2F70"/>
    <w:rsid w:val="008E520E"/>
    <w:rsid w:val="008F7FE4"/>
    <w:rsid w:val="0090046F"/>
    <w:rsid w:val="0090693F"/>
    <w:rsid w:val="00923EA3"/>
    <w:rsid w:val="00926467"/>
    <w:rsid w:val="00930DF8"/>
    <w:rsid w:val="00931BD5"/>
    <w:rsid w:val="009342F3"/>
    <w:rsid w:val="00937EBD"/>
    <w:rsid w:val="00942C9D"/>
    <w:rsid w:val="009547C7"/>
    <w:rsid w:val="00956876"/>
    <w:rsid w:val="009668ED"/>
    <w:rsid w:val="00967444"/>
    <w:rsid w:val="009678CC"/>
    <w:rsid w:val="00981DA1"/>
    <w:rsid w:val="009834E4"/>
    <w:rsid w:val="00984F8D"/>
    <w:rsid w:val="00990D6C"/>
    <w:rsid w:val="00995323"/>
    <w:rsid w:val="009A7D15"/>
    <w:rsid w:val="009B36C8"/>
    <w:rsid w:val="009C0445"/>
    <w:rsid w:val="009C4DAD"/>
    <w:rsid w:val="009C4DFF"/>
    <w:rsid w:val="009D1723"/>
    <w:rsid w:val="009F648B"/>
    <w:rsid w:val="00A45954"/>
    <w:rsid w:val="00A54379"/>
    <w:rsid w:val="00A55B71"/>
    <w:rsid w:val="00A6066D"/>
    <w:rsid w:val="00A85810"/>
    <w:rsid w:val="00A868F6"/>
    <w:rsid w:val="00A91C4C"/>
    <w:rsid w:val="00AA22A0"/>
    <w:rsid w:val="00AA663C"/>
    <w:rsid w:val="00AB4670"/>
    <w:rsid w:val="00AC2225"/>
    <w:rsid w:val="00AD53B6"/>
    <w:rsid w:val="00AF5B58"/>
    <w:rsid w:val="00B0277F"/>
    <w:rsid w:val="00B04133"/>
    <w:rsid w:val="00B044C2"/>
    <w:rsid w:val="00B15A8E"/>
    <w:rsid w:val="00B266CE"/>
    <w:rsid w:val="00B35461"/>
    <w:rsid w:val="00B533A7"/>
    <w:rsid w:val="00B62E68"/>
    <w:rsid w:val="00B81B87"/>
    <w:rsid w:val="00B822B0"/>
    <w:rsid w:val="00B85270"/>
    <w:rsid w:val="00B857EA"/>
    <w:rsid w:val="00B870A9"/>
    <w:rsid w:val="00B90697"/>
    <w:rsid w:val="00BB2332"/>
    <w:rsid w:val="00BB48D3"/>
    <w:rsid w:val="00BB5682"/>
    <w:rsid w:val="00BD41EB"/>
    <w:rsid w:val="00BE0A47"/>
    <w:rsid w:val="00BE1F4C"/>
    <w:rsid w:val="00BE3C2D"/>
    <w:rsid w:val="00BE45C1"/>
    <w:rsid w:val="00BE50E9"/>
    <w:rsid w:val="00BF4F31"/>
    <w:rsid w:val="00C3024C"/>
    <w:rsid w:val="00C37C4B"/>
    <w:rsid w:val="00C47BA2"/>
    <w:rsid w:val="00C53645"/>
    <w:rsid w:val="00C53A97"/>
    <w:rsid w:val="00C6252C"/>
    <w:rsid w:val="00C7143D"/>
    <w:rsid w:val="00C862D8"/>
    <w:rsid w:val="00C94695"/>
    <w:rsid w:val="00C95233"/>
    <w:rsid w:val="00CF64E2"/>
    <w:rsid w:val="00D034A9"/>
    <w:rsid w:val="00D03951"/>
    <w:rsid w:val="00D050EF"/>
    <w:rsid w:val="00D147D4"/>
    <w:rsid w:val="00D173B1"/>
    <w:rsid w:val="00D514D4"/>
    <w:rsid w:val="00D541FB"/>
    <w:rsid w:val="00D54D2E"/>
    <w:rsid w:val="00D723C4"/>
    <w:rsid w:val="00D76BC4"/>
    <w:rsid w:val="00D90AC2"/>
    <w:rsid w:val="00D92EE3"/>
    <w:rsid w:val="00D9301F"/>
    <w:rsid w:val="00DB0727"/>
    <w:rsid w:val="00DC7646"/>
    <w:rsid w:val="00DE4BFE"/>
    <w:rsid w:val="00DE7A17"/>
    <w:rsid w:val="00DF58A4"/>
    <w:rsid w:val="00E065B7"/>
    <w:rsid w:val="00E15960"/>
    <w:rsid w:val="00E26BEA"/>
    <w:rsid w:val="00E26D2C"/>
    <w:rsid w:val="00E40563"/>
    <w:rsid w:val="00E47483"/>
    <w:rsid w:val="00E60B40"/>
    <w:rsid w:val="00E705C8"/>
    <w:rsid w:val="00E7296E"/>
    <w:rsid w:val="00E82708"/>
    <w:rsid w:val="00E842C2"/>
    <w:rsid w:val="00E8491C"/>
    <w:rsid w:val="00EB6ED6"/>
    <w:rsid w:val="00ED02A8"/>
    <w:rsid w:val="00ED5CC5"/>
    <w:rsid w:val="00EE1546"/>
    <w:rsid w:val="00EE383C"/>
    <w:rsid w:val="00EE6AEC"/>
    <w:rsid w:val="00EF7E25"/>
    <w:rsid w:val="00F056D0"/>
    <w:rsid w:val="00F16266"/>
    <w:rsid w:val="00F25D18"/>
    <w:rsid w:val="00F51AF5"/>
    <w:rsid w:val="00F67E7B"/>
    <w:rsid w:val="00F770DD"/>
    <w:rsid w:val="00FB1467"/>
    <w:rsid w:val="00FB2D91"/>
    <w:rsid w:val="00FB7719"/>
    <w:rsid w:val="00FB777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DFE6"/>
  <w15:docId w15:val="{3D5CB51F-2D7A-4FFA-BF52-E56E76F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626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FDA023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FDA02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465E9C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5E9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465E9C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5E9C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D57B02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D57B02" w:themeColor="accent1" w:themeShade="BF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AA2B1E" w:themeFill="accent2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AA2B1E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FEE7C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AA2B1E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2B1E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36F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6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F1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66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5D47ED"/>
    <w:pPr>
      <w:spacing w:after="0" w:line="360" w:lineRule="auto"/>
    </w:pPr>
    <w:rPr>
      <w:rFonts w:eastAsia="Cambria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rsid w:val="00E842C2"/>
    <w:rPr>
      <w:color w:val="ED7D2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2.health.wa.gov.au/-/media/Corp/Documents/Health-for/Infectious-disease/OZfoodnet/Word/WA-OzFoodnet-appendix1-2020-Q3.docx" TargetMode="Externa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2.health.wa.gov.au/-/media/Corp/Documents/Health-for/Infectious-disease/OZfoodnet/Word/WA-OzFoodnet-appendix1-2020-Q3.docx" TargetMode="External"/><Relationship Id="rId17" Type="http://schemas.openxmlformats.org/officeDocument/2006/relationships/hyperlink" Target="https://ww2.health.wa.gov.au/-/media/Corp/Documents/Health-for/Infectious-disease/OZfoodnet/Word/WA-OzFoodnet-appendix2-2020-Q3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2.health.wa.gov.au/-/media/Corp/Documents/Health-for/Infectious-disease/OZfoodnet/Word/WA-OzFoodnet-appendix2-2020-Q3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3A26-F85D-4AD2-9BB4-4D80441A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Witham, Benjamin</dc:creator>
  <cp:lastModifiedBy>Witham, Benjamin</cp:lastModifiedBy>
  <cp:revision>44</cp:revision>
  <dcterms:created xsi:type="dcterms:W3CDTF">2019-12-19T01:21:00Z</dcterms:created>
  <dcterms:modified xsi:type="dcterms:W3CDTF">2020-11-25T04:06:00Z</dcterms:modified>
</cp:coreProperties>
</file>