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FFB57" w14:textId="2A71C324" w:rsidR="008B0432" w:rsidRDefault="008B0432" w:rsidP="001F6030">
      <w:pPr>
        <w:rPr>
          <w:noProof/>
        </w:rPr>
      </w:pPr>
    </w:p>
    <w:p w14:paraId="2F7A1AD6" w14:textId="4D9F7FD8" w:rsidR="00F16266" w:rsidRDefault="00316213" w:rsidP="001F6030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328A9CD" wp14:editId="4B8A78D4">
                <wp:simplePos x="0" y="0"/>
                <wp:positionH relativeFrom="column">
                  <wp:posOffset>-561975</wp:posOffset>
                </wp:positionH>
                <wp:positionV relativeFrom="paragraph">
                  <wp:posOffset>202565</wp:posOffset>
                </wp:positionV>
                <wp:extent cx="6867525" cy="10953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10953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6CD26" w14:textId="227623B1" w:rsidR="00D050EF" w:rsidRPr="00D034A9" w:rsidRDefault="00926467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D034A9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 xml:space="preserve">This report describes enteric disease surveillance and investigations carried out during the </w:t>
                            </w:r>
                            <w:r w:rsidR="00776870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>fourth</w:t>
                            </w:r>
                            <w:r w:rsidRPr="00D034A9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 xml:space="preserve"> quarter of 20</w:t>
                            </w:r>
                            <w:r w:rsidR="00BF4F31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>20</w:t>
                            </w:r>
                            <w:r w:rsidR="00D173B1" w:rsidRPr="00D034A9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776870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>4</w:t>
                            </w:r>
                            <w:r w:rsidR="00D050EF" w:rsidRPr="00D034A9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>Q</w:t>
                            </w:r>
                            <w:r w:rsidR="00BF4F31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>20</w:t>
                            </w:r>
                            <w:r w:rsidR="00D050EF" w:rsidRPr="00D034A9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>)</w:t>
                            </w:r>
                            <w:r w:rsidRPr="00D034A9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 xml:space="preserve"> by OzFoodNet WA in conjunction with other Western Australian Department of Health agencies and local governments.</w:t>
                            </w:r>
                            <w:r w:rsidRPr="00D034A9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A68F0A4" w14:textId="28080EC2" w:rsidR="006F36F0" w:rsidRPr="00D034A9" w:rsidRDefault="00E05759">
                            <w:pPr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T</w:t>
                            </w:r>
                            <w:r w:rsidR="00926467" w:rsidRPr="00D034A9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he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de</w:t>
                            </w:r>
                            <w:r w:rsidR="00926467" w:rsidRPr="00D034A9">
                              <w:rPr>
                                <w:rFonts w:cs="Arial"/>
                                <w:sz w:val="20"/>
                                <w:szCs w:val="20"/>
                              </w:rPr>
                              <w:t>crease in notifications</w:t>
                            </w:r>
                            <w:r w:rsidR="00074C55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in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4Q20 </w:t>
                            </w:r>
                            <w:r w:rsidR="00926467" w:rsidRPr="00D034A9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is likely to be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due </w:t>
                            </w:r>
                            <w:r w:rsidR="00E15960">
                              <w:rPr>
                                <w:rFonts w:cs="Arial"/>
                                <w:sz w:val="20"/>
                                <w:szCs w:val="20"/>
                              </w:rPr>
                              <w:t>the ongoing travel restrictions due to COVID-19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and possible improvements in hand hygiene in the general community</w:t>
                            </w:r>
                            <w:r w:rsidR="00E15960">
                              <w:rPr>
                                <w:rFonts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8A9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4.25pt;margin-top:15.95pt;width:540.75pt;height:86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" fillcolor="#d7dded [671]" stroked="f">
                <v:textbox>
                  <w:txbxContent>
                    <w:p w14:paraId="0D36CD26" w14:textId="227623B1" w:rsidR="00D050EF" w:rsidRPr="00D034A9" w:rsidRDefault="00926467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D034A9">
                        <w:rPr>
                          <w:rFonts w:eastAsia="Calibri" w:cs="Arial"/>
                          <w:sz w:val="20"/>
                          <w:szCs w:val="20"/>
                        </w:rPr>
                        <w:t xml:space="preserve">This report describes enteric disease surveillance and investigations carried out during the </w:t>
                      </w:r>
                      <w:r w:rsidR="00776870">
                        <w:rPr>
                          <w:rFonts w:eastAsia="Calibri" w:cs="Arial"/>
                          <w:sz w:val="20"/>
                          <w:szCs w:val="20"/>
                        </w:rPr>
                        <w:t>fourth</w:t>
                      </w:r>
                      <w:r w:rsidRPr="00D034A9">
                        <w:rPr>
                          <w:rFonts w:eastAsia="Calibri" w:cs="Arial"/>
                          <w:sz w:val="20"/>
                          <w:szCs w:val="20"/>
                        </w:rPr>
                        <w:t xml:space="preserve"> quarter of 20</w:t>
                      </w:r>
                      <w:r w:rsidR="00BF4F31">
                        <w:rPr>
                          <w:rFonts w:eastAsia="Calibri" w:cs="Arial"/>
                          <w:sz w:val="20"/>
                          <w:szCs w:val="20"/>
                        </w:rPr>
                        <w:t>20</w:t>
                      </w:r>
                      <w:r w:rsidR="00D173B1" w:rsidRPr="00D034A9">
                        <w:rPr>
                          <w:rFonts w:eastAsia="Calibri" w:cs="Arial"/>
                          <w:sz w:val="20"/>
                          <w:szCs w:val="20"/>
                        </w:rPr>
                        <w:t xml:space="preserve"> (</w:t>
                      </w:r>
                      <w:r w:rsidR="00776870">
                        <w:rPr>
                          <w:rFonts w:eastAsia="Calibri" w:cs="Arial"/>
                          <w:sz w:val="20"/>
                          <w:szCs w:val="20"/>
                        </w:rPr>
                        <w:t>4</w:t>
                      </w:r>
                      <w:r w:rsidR="00D050EF" w:rsidRPr="00D034A9">
                        <w:rPr>
                          <w:rFonts w:eastAsia="Calibri" w:cs="Arial"/>
                          <w:sz w:val="20"/>
                          <w:szCs w:val="20"/>
                        </w:rPr>
                        <w:t>Q</w:t>
                      </w:r>
                      <w:r w:rsidR="00BF4F31">
                        <w:rPr>
                          <w:rFonts w:eastAsia="Calibri" w:cs="Arial"/>
                          <w:sz w:val="20"/>
                          <w:szCs w:val="20"/>
                        </w:rPr>
                        <w:t>20</w:t>
                      </w:r>
                      <w:r w:rsidR="00D050EF" w:rsidRPr="00D034A9">
                        <w:rPr>
                          <w:rFonts w:eastAsia="Calibri" w:cs="Arial"/>
                          <w:sz w:val="20"/>
                          <w:szCs w:val="20"/>
                        </w:rPr>
                        <w:t>)</w:t>
                      </w:r>
                      <w:r w:rsidRPr="00D034A9">
                        <w:rPr>
                          <w:rFonts w:eastAsia="Calibri" w:cs="Arial"/>
                          <w:sz w:val="20"/>
                          <w:szCs w:val="20"/>
                        </w:rPr>
                        <w:t xml:space="preserve"> by OzFoodNet WA in conjunction with other Western Australian Department of Health agencies and local governments.</w:t>
                      </w:r>
                      <w:r w:rsidRPr="00D034A9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A68F0A4" w14:textId="28080EC2" w:rsidR="006F36F0" w:rsidRPr="00D034A9" w:rsidRDefault="00E05759">
                      <w:pPr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T</w:t>
                      </w:r>
                      <w:r w:rsidR="00926467" w:rsidRPr="00D034A9">
                        <w:rPr>
                          <w:rFonts w:cs="Arial"/>
                          <w:sz w:val="20"/>
                          <w:szCs w:val="20"/>
                        </w:rPr>
                        <w:t xml:space="preserve">he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de</w:t>
                      </w:r>
                      <w:r w:rsidR="00926467" w:rsidRPr="00D034A9">
                        <w:rPr>
                          <w:rFonts w:cs="Arial"/>
                          <w:sz w:val="20"/>
                          <w:szCs w:val="20"/>
                        </w:rPr>
                        <w:t>crease in notifications</w:t>
                      </w:r>
                      <w:r w:rsidR="00074C55">
                        <w:rPr>
                          <w:rFonts w:cs="Arial"/>
                          <w:sz w:val="20"/>
                          <w:szCs w:val="20"/>
                        </w:rPr>
                        <w:t xml:space="preserve"> in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 4Q20 </w:t>
                      </w:r>
                      <w:r w:rsidR="00926467" w:rsidRPr="00D034A9">
                        <w:rPr>
                          <w:rFonts w:cs="Arial"/>
                          <w:sz w:val="20"/>
                          <w:szCs w:val="20"/>
                        </w:rPr>
                        <w:t xml:space="preserve">is likely to be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due </w:t>
                      </w:r>
                      <w:r w:rsidR="00E15960">
                        <w:rPr>
                          <w:rFonts w:cs="Arial"/>
                          <w:sz w:val="20"/>
                          <w:szCs w:val="20"/>
                        </w:rPr>
                        <w:t>the ongoing travel restrictions due to COVID-19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 and possible improvements in hand hygiene in the general community</w:t>
                      </w:r>
                      <w:r w:rsidR="00E15960">
                        <w:rPr>
                          <w:rFonts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6252C" w:rsidRPr="006F36F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AE064D8" wp14:editId="210609B7">
                <wp:simplePos x="0" y="0"/>
                <wp:positionH relativeFrom="column">
                  <wp:posOffset>-1351280</wp:posOffset>
                </wp:positionH>
                <wp:positionV relativeFrom="paragraph">
                  <wp:posOffset>-175260</wp:posOffset>
                </wp:positionV>
                <wp:extent cx="8340725" cy="381635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0725" cy="3816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3F055C" w14:textId="1233C2A5" w:rsidR="006F36F0" w:rsidRPr="00143F9C" w:rsidRDefault="006F36F0" w:rsidP="006F36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465E9C" w:themeColor="text2"/>
                                <w:sz w:val="34"/>
                                <w:szCs w:val="34"/>
                              </w:rPr>
                            </w:pPr>
                            <w:r w:rsidRPr="00143F9C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</w:rPr>
                              <w:t>OzFoodNet Ente</w:t>
                            </w:r>
                            <w:r w:rsidR="002A1586" w:rsidRPr="00143F9C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</w:rPr>
                              <w:t xml:space="preserve">ric Disease Surveillance Report </w:t>
                            </w:r>
                            <w:r w:rsidR="00776870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</w:rPr>
                              <w:t>4</w:t>
                            </w:r>
                            <w:r w:rsidR="00776870" w:rsidRPr="00776870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  <w:vertAlign w:val="superscript"/>
                              </w:rPr>
                              <w:t>th</w:t>
                            </w:r>
                            <w:r w:rsidR="00776870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143F9C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</w:rPr>
                              <w:t>Quarter 20</w:t>
                            </w:r>
                            <w:r w:rsidR="00BF4F31">
                              <w:rPr>
                                <w:rFonts w:ascii="Arial" w:hAnsi="Arial" w:cs="Arial"/>
                                <w:b/>
                                <w:bCs/>
                                <w:color w:val="465E9C" w:themeColor="text2"/>
                                <w:kern w:val="24"/>
                                <w:sz w:val="34"/>
                                <w:szCs w:val="34"/>
                              </w:rPr>
                              <w:t>20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064D8" id="TextBox 5" o:spid="_x0000_s1027" type="#_x0000_t202" style="position:absolute;margin-left:-106.4pt;margin-top:-13.8pt;width:656.75pt;height:30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" filled="f" stroked="f">
                <v:textbox>
                  <w:txbxContent>
                    <w:p w14:paraId="063F055C" w14:textId="1233C2A5" w:rsidR="006F36F0" w:rsidRPr="00143F9C" w:rsidRDefault="006F36F0" w:rsidP="006F36F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465E9C" w:themeColor="text2"/>
                          <w:sz w:val="34"/>
                          <w:szCs w:val="34"/>
                        </w:rPr>
                      </w:pPr>
                      <w:r w:rsidRPr="00143F9C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</w:rPr>
                        <w:t>OzFoodNet Ente</w:t>
                      </w:r>
                      <w:r w:rsidR="002A1586" w:rsidRPr="00143F9C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</w:rPr>
                        <w:t xml:space="preserve">ric Disease Surveillance Report </w:t>
                      </w:r>
                      <w:r w:rsidR="00776870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</w:rPr>
                        <w:t>4</w:t>
                      </w:r>
                      <w:r w:rsidR="00776870" w:rsidRPr="00776870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  <w:vertAlign w:val="superscript"/>
                        </w:rPr>
                        <w:t>th</w:t>
                      </w:r>
                      <w:r w:rsidR="00776870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</w:rPr>
                        <w:t xml:space="preserve"> </w:t>
                      </w:r>
                      <w:r w:rsidRPr="00143F9C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</w:rPr>
                        <w:t>Quarter 20</w:t>
                      </w:r>
                      <w:r w:rsidR="00BF4F31">
                        <w:rPr>
                          <w:rFonts w:ascii="Arial" w:hAnsi="Arial" w:cs="Arial"/>
                          <w:b/>
                          <w:bCs/>
                          <w:color w:val="465E9C" w:themeColor="text2"/>
                          <w:kern w:val="24"/>
                          <w:sz w:val="34"/>
                          <w:szCs w:val="34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BE50E9" w:rsidRPr="00FC2612">
        <w:rPr>
          <w:noProof/>
          <w:color w:val="899BCA" w:themeColor="text2" w:themeTint="99"/>
          <w:sz w:val="44"/>
          <w:szCs w:val="44"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E46A4CD" wp14:editId="7FAF76A3">
                <wp:simplePos x="0" y="0"/>
                <wp:positionH relativeFrom="column">
                  <wp:posOffset>4831715</wp:posOffset>
                </wp:positionH>
                <wp:positionV relativeFrom="paragraph">
                  <wp:posOffset>-591820</wp:posOffset>
                </wp:positionV>
                <wp:extent cx="1884045" cy="321945"/>
                <wp:effectExtent l="0" t="0" r="1905" b="1905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1929E" w14:textId="77777777" w:rsidR="002A1586" w:rsidRPr="002A3F93" w:rsidRDefault="002A1586" w:rsidP="002A158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Enhancing foodborne disease surveillance a</w:t>
                            </w:r>
                            <w:r w:rsidRPr="002A3F93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cross Australia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6A4CD" id="Text Box 7" o:spid="_x0000_s1028" type="#_x0000_t202" style="position:absolute;margin-left:380.45pt;margin-top:-46.6pt;width:148.35pt;height:25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" stroked="f">
                <v:textbox inset=".5mm,.3mm,.5mm,.3mm">
                  <w:txbxContent>
                    <w:p w14:paraId="3761929E" w14:textId="77777777" w:rsidR="002A1586" w:rsidRPr="002A3F93" w:rsidRDefault="002A1586" w:rsidP="002A158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>Enhancing foodborne disease surveillance a</w:t>
                      </w:r>
                      <w:r w:rsidRPr="002A3F93">
                        <w:rPr>
                          <w:rFonts w:cs="Arial"/>
                          <w:b/>
                          <w:sz w:val="18"/>
                          <w:szCs w:val="18"/>
                        </w:rPr>
                        <w:t>cross Australia</w:t>
                      </w:r>
                    </w:p>
                  </w:txbxContent>
                </v:textbox>
              </v:shape>
            </w:pict>
          </mc:Fallback>
        </mc:AlternateContent>
      </w:r>
      <w:r w:rsidR="00BE50E9" w:rsidRPr="005504C9">
        <w:rPr>
          <w:noProof/>
          <w:lang w:eastAsia="en-AU"/>
        </w:rPr>
        <w:drawing>
          <wp:anchor distT="0" distB="0" distL="114300" distR="114300" simplePos="0" relativeHeight="251662848" behindDoc="0" locked="0" layoutInCell="1" allowOverlap="1" wp14:anchorId="1E5C6C2F" wp14:editId="09673E29">
            <wp:simplePos x="0" y="0"/>
            <wp:positionH relativeFrom="column">
              <wp:posOffset>3977640</wp:posOffset>
            </wp:positionH>
            <wp:positionV relativeFrom="paragraph">
              <wp:posOffset>-720090</wp:posOffset>
            </wp:positionV>
            <wp:extent cx="837565" cy="532130"/>
            <wp:effectExtent l="0" t="0" r="63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0E9">
        <w:rPr>
          <w:noProof/>
          <w:lang w:eastAsia="en-AU"/>
        </w:rPr>
        <w:drawing>
          <wp:anchor distT="0" distB="0" distL="114300" distR="114300" simplePos="0" relativeHeight="251654656" behindDoc="0" locked="0" layoutInCell="1" allowOverlap="1" wp14:anchorId="0A4C912B" wp14:editId="58C85095">
            <wp:simplePos x="0" y="0"/>
            <wp:positionH relativeFrom="column">
              <wp:posOffset>-786765</wp:posOffset>
            </wp:positionH>
            <wp:positionV relativeFrom="paragraph">
              <wp:posOffset>-632984</wp:posOffset>
            </wp:positionV>
            <wp:extent cx="2423160" cy="445135"/>
            <wp:effectExtent l="0" t="0" r="0" b="0"/>
            <wp:wrapNone/>
            <wp:docPr id="2" name="Picture 2" descr="Department of Health Logo, Government of Western Australia. Image of Government state badge." title="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artment_of_health_long_colour_pri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23728E" w14:textId="7487F0C8" w:rsidR="00002E4E" w:rsidRDefault="00E15960" w:rsidP="00002E4E">
      <w:pPr>
        <w:spacing w:after="200" w:line="276" w:lineRule="auto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D9A6F36" wp14:editId="1E2D2377">
                <wp:simplePos x="0" y="0"/>
                <wp:positionH relativeFrom="column">
                  <wp:posOffset>-575945</wp:posOffset>
                </wp:positionH>
                <wp:positionV relativeFrom="paragraph">
                  <wp:posOffset>1128395</wp:posOffset>
                </wp:positionV>
                <wp:extent cx="6867525" cy="2949575"/>
                <wp:effectExtent l="0" t="0" r="952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2949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0CE48" w14:textId="56922F31" w:rsidR="006F36F0" w:rsidRDefault="006F36F0" w:rsidP="00F16266">
                            <w:pPr>
                              <w:spacing w:after="0"/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</w:pPr>
                            <w:r w:rsidRPr="00010A3C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Most common enteric di</w:t>
                            </w:r>
                            <w:r w:rsidR="00243C14" w:rsidRPr="00010A3C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 xml:space="preserve">sease notifications in Quarter </w:t>
                            </w:r>
                            <w:r w:rsidR="00776870" w:rsidRPr="00010A3C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4</w:t>
                            </w:r>
                            <w:r w:rsidRPr="00010A3C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 xml:space="preserve"> 20</w:t>
                            </w:r>
                            <w:r w:rsidR="00BF4F31" w:rsidRPr="00010A3C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20</w:t>
                            </w:r>
                          </w:p>
                          <w:p w14:paraId="41295F17" w14:textId="1FF59E6A" w:rsidR="00776870" w:rsidRPr="00143F9C" w:rsidRDefault="00776870" w:rsidP="00F16266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465E9C" w:themeColor="text2"/>
                                <w:sz w:val="32"/>
                                <w:szCs w:val="32"/>
                                <w:lang w:eastAsia="en-AU"/>
                              </w:rPr>
                            </w:pPr>
                            <w:r w:rsidRPr="00776870">
                              <w:rPr>
                                <w:noProof/>
                              </w:rPr>
                              <w:drawing>
                                <wp:inline distT="0" distB="0" distL="0" distR="0" wp14:anchorId="10FD59AF" wp14:editId="7717F529">
                                  <wp:extent cx="6675755" cy="2834641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75755" cy="2834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A6F36" id="_x0000_s1029" type="#_x0000_t202" style="position:absolute;margin-left:-45.35pt;margin-top:88.85pt;width:540.75pt;height:232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" fillcolor="#d7dded [671]" stroked="f">
                <v:fill opacity="32896f"/>
                <v:textbox>
                  <w:txbxContent>
                    <w:p w14:paraId="2F70CE48" w14:textId="56922F31" w:rsidR="006F36F0" w:rsidRDefault="006F36F0" w:rsidP="00F16266">
                      <w:pPr>
                        <w:spacing w:after="0"/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</w:pPr>
                      <w:r w:rsidRPr="00010A3C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Most common enteric di</w:t>
                      </w:r>
                      <w:r w:rsidR="00243C14" w:rsidRPr="00010A3C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 xml:space="preserve">sease notifications in Quarter </w:t>
                      </w:r>
                      <w:r w:rsidR="00776870" w:rsidRPr="00010A3C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4</w:t>
                      </w:r>
                      <w:r w:rsidRPr="00010A3C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 xml:space="preserve"> 20</w:t>
                      </w:r>
                      <w:r w:rsidR="00BF4F31" w:rsidRPr="00010A3C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20</w:t>
                      </w:r>
                    </w:p>
                    <w:p w14:paraId="41295F17" w14:textId="1FF59E6A" w:rsidR="00776870" w:rsidRPr="00143F9C" w:rsidRDefault="00776870" w:rsidP="00F16266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color w:val="465E9C" w:themeColor="text2"/>
                          <w:sz w:val="32"/>
                          <w:szCs w:val="32"/>
                          <w:lang w:eastAsia="en-AU"/>
                        </w:rPr>
                      </w:pPr>
                      <w:r w:rsidRPr="00776870">
                        <w:rPr>
                          <w:noProof/>
                        </w:rPr>
                        <w:drawing>
                          <wp:inline distT="0" distB="0" distL="0" distR="0" wp14:anchorId="10FD59AF" wp14:editId="7717F529">
                            <wp:extent cx="6675755" cy="2834641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75755" cy="28346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76B429" wp14:editId="696585EA">
                <wp:simplePos x="0" y="0"/>
                <wp:positionH relativeFrom="column">
                  <wp:posOffset>-581025</wp:posOffset>
                </wp:positionH>
                <wp:positionV relativeFrom="paragraph">
                  <wp:posOffset>4186555</wp:posOffset>
                </wp:positionV>
                <wp:extent cx="6868795" cy="4434840"/>
                <wp:effectExtent l="0" t="0" r="8255" b="38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8795" cy="4434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9CE9F" w14:textId="77777777" w:rsidR="00F16266" w:rsidRPr="00E065B7" w:rsidRDefault="00F16266" w:rsidP="00F16266">
                            <w:pPr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</w:pPr>
                            <w:r w:rsidRPr="00010A3C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Change in enteric disease notifications (</w:t>
                            </w:r>
                            <w:proofErr w:type="gramStart"/>
                            <w:r w:rsidRPr="00010A3C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%)</w:t>
                            </w:r>
                            <w:r w:rsidR="0024249E" w:rsidRPr="00010A3C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28"/>
                                <w:szCs w:val="32"/>
                                <w:lang w:eastAsia="en-AU"/>
                              </w:rPr>
                              <w:t>*</w:t>
                            </w:r>
                            <w:proofErr w:type="gramEnd"/>
                          </w:p>
                          <w:p w14:paraId="39A856B8" w14:textId="5B56B6AE" w:rsidR="00F16266" w:rsidRDefault="00FA5179" w:rsidP="00230716">
                            <w:pPr>
                              <w:jc w:val="center"/>
                            </w:pPr>
                            <w:r w:rsidRPr="00FA5179">
                              <w:rPr>
                                <w:noProof/>
                              </w:rPr>
                              <w:drawing>
                                <wp:inline distT="0" distB="0" distL="0" distR="0" wp14:anchorId="6B5448A2" wp14:editId="6FA56A29">
                                  <wp:extent cx="6197018" cy="363855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03150" cy="3642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6B429" id="_x0000_s1030" type="#_x0000_t202" style="position:absolute;margin-left:-45.75pt;margin-top:329.65pt;width:540.85pt;height:349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" fillcolor="#d7dded [671]" stroked="f">
                <v:fill opacity="32896f"/>
                <v:textbox>
                  <w:txbxContent>
                    <w:p w14:paraId="19E9CE9F" w14:textId="77777777" w:rsidR="00F16266" w:rsidRPr="00E065B7" w:rsidRDefault="00F16266" w:rsidP="00F16266">
                      <w:pPr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</w:pPr>
                      <w:r w:rsidRPr="00010A3C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Change in enteric disease notifications (</w:t>
                      </w:r>
                      <w:proofErr w:type="gramStart"/>
                      <w:r w:rsidRPr="00010A3C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%)</w:t>
                      </w:r>
                      <w:r w:rsidR="0024249E" w:rsidRPr="00010A3C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28"/>
                          <w:szCs w:val="32"/>
                          <w:lang w:eastAsia="en-AU"/>
                        </w:rPr>
                        <w:t>*</w:t>
                      </w:r>
                      <w:proofErr w:type="gramEnd"/>
                    </w:p>
                    <w:p w14:paraId="39A856B8" w14:textId="5B56B6AE" w:rsidR="00F16266" w:rsidRDefault="00FA5179" w:rsidP="00230716">
                      <w:pPr>
                        <w:jc w:val="center"/>
                      </w:pPr>
                      <w:r w:rsidRPr="00FA5179">
                        <w:rPr>
                          <w:noProof/>
                        </w:rPr>
                        <w:drawing>
                          <wp:inline distT="0" distB="0" distL="0" distR="0" wp14:anchorId="6B5448A2" wp14:editId="6FA56A29">
                            <wp:extent cx="6197018" cy="3638550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03150" cy="3642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90E1C2" wp14:editId="2585E4FF">
                <wp:simplePos x="0" y="0"/>
                <wp:positionH relativeFrom="column">
                  <wp:posOffset>-563880</wp:posOffset>
                </wp:positionH>
                <wp:positionV relativeFrom="paragraph">
                  <wp:posOffset>8216265</wp:posOffset>
                </wp:positionV>
                <wp:extent cx="6852285" cy="495943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285" cy="4959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49CA0" w14:textId="77777777" w:rsidR="0066016D" w:rsidRDefault="00E842C2" w:rsidP="00BE50E9">
                            <w:pPr>
                              <w:spacing w:after="0"/>
                              <w:rPr>
                                <w:rFonts w:ascii="Calibri" w:hAnsi="Calibri"/>
                                <w:color w:val="005B38"/>
                                <w:sz w:val="14"/>
                              </w:rPr>
                            </w:pPr>
                            <w:r w:rsidRPr="00B70DAF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 xml:space="preserve">Appendix 1 </w:t>
                            </w:r>
                            <w:r w:rsidRPr="00B70DAF">
                              <w:rPr>
                                <w:rFonts w:ascii="Calibri" w:eastAsia="+mn-ea" w:hAnsi="Calibri" w:cs="+mn-cs"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>Enteric diseases by public health region:</w:t>
                            </w:r>
                            <w:r w:rsidRPr="00B70DAF">
                              <w:rPr>
                                <w:rFonts w:ascii="Calibri" w:hAnsi="Calibri"/>
                                <w:color w:val="005B38"/>
                                <w:sz w:val="14"/>
                              </w:rPr>
                              <w:t xml:space="preserve"> </w:t>
                            </w:r>
                          </w:p>
                          <w:p w14:paraId="07097986" w14:textId="4E468872" w:rsidR="00A6066D" w:rsidRPr="00A6066D" w:rsidRDefault="0074367C" w:rsidP="00732A7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="00B92123" w:rsidRPr="0074367C">
                                <w:rPr>
                                  <w:rStyle w:val="Hyperlink"/>
                                  <w:rFonts w:ascii="Calibri" w:hAnsi="Calibri"/>
                                  <w:sz w:val="16"/>
                                  <w:szCs w:val="16"/>
                                </w:rPr>
                                <w:t>https://ww2.health.wa.gov.au/~/media/Corp/Documents/Health-for/Infectious-disease/OZfoodnet/Word/WA-OzFoodnet-appendix1-2020-Q4.docx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0E1C2" id="Text Box 21" o:spid="_x0000_s1031" type="#_x0000_t202" style="position:absolute;margin-left:-44.4pt;margin-top:646.95pt;width:539.55pt;height:3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" filled="f" stroked="f" strokeweight=".5pt">
                <v:textbox>
                  <w:txbxContent>
                    <w:p w14:paraId="56549CA0" w14:textId="77777777" w:rsidR="0066016D" w:rsidRDefault="00E842C2" w:rsidP="00BE50E9">
                      <w:pPr>
                        <w:spacing w:after="0"/>
                        <w:rPr>
                          <w:rFonts w:ascii="Calibri" w:hAnsi="Calibri"/>
                          <w:color w:val="005B38"/>
                          <w:sz w:val="14"/>
                        </w:rPr>
                      </w:pPr>
                      <w:r w:rsidRPr="00B70DAF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 xml:space="preserve">Appendix 1 </w:t>
                      </w:r>
                      <w:r w:rsidRPr="00B70DAF">
                        <w:rPr>
                          <w:rFonts w:ascii="Calibri" w:eastAsia="+mn-ea" w:hAnsi="Calibri" w:cs="+mn-cs"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>Enteric diseases by public health region:</w:t>
                      </w:r>
                      <w:r w:rsidRPr="00B70DAF">
                        <w:rPr>
                          <w:rFonts w:ascii="Calibri" w:hAnsi="Calibri"/>
                          <w:color w:val="005B38"/>
                          <w:sz w:val="14"/>
                        </w:rPr>
                        <w:t xml:space="preserve"> </w:t>
                      </w:r>
                    </w:p>
                    <w:p w14:paraId="07097986" w14:textId="4E468872" w:rsidR="00A6066D" w:rsidRPr="00A6066D" w:rsidRDefault="0074367C" w:rsidP="00732A7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hyperlink r:id="rId13" w:history="1">
                        <w:r w:rsidR="00B92123" w:rsidRPr="0074367C">
                          <w:rPr>
                            <w:rStyle w:val="Hyperlink"/>
                            <w:rFonts w:ascii="Calibri" w:hAnsi="Calibri"/>
                            <w:sz w:val="16"/>
                            <w:szCs w:val="16"/>
                          </w:rPr>
                          <w:t>https://ww2.health.wa.gov.au/~/media/Corp/Documents/Health-for/Infectious-disease/OZfoodnet/Word/WA-OzFoodnet-appendix1-2020-Q4.docx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E50E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3829AE" wp14:editId="7FED344D">
                <wp:simplePos x="0" y="0"/>
                <wp:positionH relativeFrom="column">
                  <wp:posOffset>-581025</wp:posOffset>
                </wp:positionH>
                <wp:positionV relativeFrom="paragraph">
                  <wp:posOffset>8582025</wp:posOffset>
                </wp:positionV>
                <wp:extent cx="6885305" cy="524510"/>
                <wp:effectExtent l="0" t="0" r="0" b="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5305" cy="524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4CE36" w14:textId="77777777" w:rsidR="00D723C4" w:rsidRPr="0024249E" w:rsidRDefault="00BE50E9" w:rsidP="0024249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Cs w:val="24"/>
                              </w:rPr>
                              <w:t>*</w:t>
                            </w:r>
                            <w:r w:rsidR="00D723C4" w:rsidRPr="0024249E">
                              <w:rPr>
                                <w:sz w:val="16"/>
                              </w:rPr>
                              <w:t>Percentage change in the number of notifications in the current quarter compared to the historical 5-year mean for the same quarter. Positive values indicate an increase when compared to the historical 5-year mean of the same quarter. Negative values indicate a decrease when compared to the historical 5-year mean of the same quarter. Percentage change should be interpreted with caution when the number of cases is small.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829AE" id="_x0000_s1032" type="#_x0000_t202" style="position:absolute;margin-left:-45.75pt;margin-top:675.75pt;width:542.15pt;height:4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" filled="f" stroked="f">
                <v:textbox>
                  <w:txbxContent>
                    <w:p w14:paraId="2064CE36" w14:textId="77777777" w:rsidR="00D723C4" w:rsidRPr="0024249E" w:rsidRDefault="00BE50E9" w:rsidP="0024249E">
                      <w:pPr>
                        <w:rPr>
                          <w:sz w:val="16"/>
                        </w:rPr>
                      </w:pPr>
                      <w:r>
                        <w:rPr>
                          <w:szCs w:val="24"/>
                        </w:rPr>
                        <w:t>*</w:t>
                      </w:r>
                      <w:r w:rsidR="00D723C4" w:rsidRPr="0024249E">
                        <w:rPr>
                          <w:sz w:val="16"/>
                        </w:rPr>
                        <w:t>Percentage change in the number of notifications in the current quarter compared to the historical 5-year mean for the same quarter. Positive values indicate an increase when compared to the historical 5-year mean of the same quarter. Negative values indicate a decrease when compared to the historical 5-year mean of the same quarter. Percentage change should be interpreted with caution when the number of cases is small.</w:t>
                      </w:r>
                    </w:p>
                  </w:txbxContent>
                </v:textbox>
              </v:shape>
            </w:pict>
          </mc:Fallback>
        </mc:AlternateContent>
      </w:r>
      <w:r w:rsidR="00F16266">
        <w:br w:type="page"/>
      </w:r>
    </w:p>
    <w:p w14:paraId="78278622" w14:textId="3BD0ECB2" w:rsidR="00F16266" w:rsidRPr="00C862D8" w:rsidRDefault="00241E68" w:rsidP="009D1723">
      <w:pPr>
        <w:jc w:val="center"/>
        <w:rPr>
          <w:rFonts w:ascii="Calibri" w:eastAsia="+mn-ea" w:hAnsi="Calibri" w:cs="+mn-cs"/>
          <w:b/>
          <w:bCs/>
          <w:color w:val="465E9C" w:themeColor="text2"/>
          <w:kern w:val="24"/>
          <w:sz w:val="36"/>
          <w:szCs w:val="32"/>
          <w:lang w:eastAsia="en-AU"/>
        </w:rPr>
      </w:pPr>
      <w:r>
        <w:rPr>
          <w:rFonts w:ascii="Calibri" w:eastAsia="+mn-ea" w:hAnsi="Calibri" w:cs="+mn-cs"/>
          <w:b/>
          <w:bCs/>
          <w:noProof/>
          <w:color w:val="465E9C" w:themeColor="text2"/>
          <w:kern w:val="24"/>
          <w:sz w:val="36"/>
          <w:szCs w:val="32"/>
          <w:lang w:eastAsia="en-AU"/>
        </w:rPr>
        <w:lastRenderedPageBreak/>
        <w:drawing>
          <wp:anchor distT="0" distB="0" distL="114300" distR="114300" simplePos="0" relativeHeight="251672064" behindDoc="1" locked="0" layoutInCell="1" allowOverlap="1" wp14:anchorId="258F1EFC" wp14:editId="615C472A">
            <wp:simplePos x="0" y="0"/>
            <wp:positionH relativeFrom="column">
              <wp:posOffset>-408188</wp:posOffset>
            </wp:positionH>
            <wp:positionV relativeFrom="paragraph">
              <wp:posOffset>366375</wp:posOffset>
            </wp:positionV>
            <wp:extent cx="3507537" cy="139198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537" cy="139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CD7" w:rsidRPr="00A70CD7">
        <w:rPr>
          <w:rFonts w:ascii="Calibri" w:eastAsia="+mn-ea" w:hAnsi="Calibri" w:cs="+mn-cs"/>
          <w:b/>
          <w:bCs/>
          <w:color w:val="465E9C" w:themeColor="text2"/>
          <w:kern w:val="24"/>
          <w:sz w:val="36"/>
          <w:szCs w:val="32"/>
          <w:lang w:eastAsia="en-AU"/>
        </w:rPr>
        <w:t xml:space="preserve"> </w:t>
      </w:r>
      <w:r w:rsidR="008449C2" w:rsidRPr="00C862D8">
        <w:rPr>
          <w:rFonts w:ascii="Calibri" w:eastAsia="+mn-ea" w:hAnsi="Calibri" w:cs="+mn-cs"/>
          <w:b/>
          <w:bCs/>
          <w:color w:val="465E9C" w:themeColor="text2"/>
          <w:kern w:val="24"/>
          <w:sz w:val="36"/>
          <w:szCs w:val="32"/>
          <w:lang w:eastAsia="en-AU"/>
        </w:rPr>
        <w:t xml:space="preserve">Outbreaks in Quarter </w:t>
      </w:r>
      <w:r w:rsidR="00230716">
        <w:rPr>
          <w:rFonts w:ascii="Calibri" w:eastAsia="+mn-ea" w:hAnsi="Calibri" w:cs="+mn-cs"/>
          <w:b/>
          <w:bCs/>
          <w:color w:val="465E9C" w:themeColor="text2"/>
          <w:kern w:val="24"/>
          <w:sz w:val="36"/>
          <w:szCs w:val="32"/>
          <w:lang w:eastAsia="en-AU"/>
        </w:rPr>
        <w:t>4</w:t>
      </w:r>
      <w:r w:rsidR="008449C2" w:rsidRPr="00C862D8">
        <w:rPr>
          <w:rFonts w:ascii="Calibri" w:eastAsia="+mn-ea" w:hAnsi="Calibri" w:cs="+mn-cs"/>
          <w:b/>
          <w:bCs/>
          <w:color w:val="465E9C" w:themeColor="text2"/>
          <w:kern w:val="24"/>
          <w:sz w:val="36"/>
          <w:szCs w:val="32"/>
          <w:lang w:eastAsia="en-AU"/>
        </w:rPr>
        <w:t xml:space="preserve"> 20</w:t>
      </w:r>
      <w:r w:rsidR="00BF4F31">
        <w:rPr>
          <w:rFonts w:ascii="Calibri" w:eastAsia="+mn-ea" w:hAnsi="Calibri" w:cs="+mn-cs"/>
          <w:b/>
          <w:bCs/>
          <w:color w:val="465E9C" w:themeColor="text2"/>
          <w:kern w:val="24"/>
          <w:sz w:val="36"/>
          <w:szCs w:val="32"/>
          <w:lang w:eastAsia="en-AU"/>
        </w:rPr>
        <w:t>20</w:t>
      </w:r>
    </w:p>
    <w:p w14:paraId="3256666C" w14:textId="59152B0D" w:rsidR="00002E4E" w:rsidRDefault="00241E68" w:rsidP="00F1626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8208" behindDoc="1" locked="0" layoutInCell="1" allowOverlap="1" wp14:anchorId="56C52827" wp14:editId="64453445">
            <wp:simplePos x="0" y="0"/>
            <wp:positionH relativeFrom="column">
              <wp:posOffset>3099371</wp:posOffset>
            </wp:positionH>
            <wp:positionV relativeFrom="paragraph">
              <wp:posOffset>14625</wp:posOffset>
            </wp:positionV>
            <wp:extent cx="3325621" cy="1537316"/>
            <wp:effectExtent l="0" t="0" r="8255" b="635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621" cy="1537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D84172" w14:textId="39B3CA55" w:rsidR="00002E4E" w:rsidRDefault="00002E4E" w:rsidP="00F16266">
      <w:pPr>
        <w:rPr>
          <w:noProof/>
        </w:rPr>
      </w:pPr>
    </w:p>
    <w:p w14:paraId="0C8DF68B" w14:textId="70994651" w:rsidR="00002E4E" w:rsidRDefault="00002E4E" w:rsidP="00F16266">
      <w:pPr>
        <w:rPr>
          <w:noProof/>
        </w:rPr>
      </w:pPr>
    </w:p>
    <w:p w14:paraId="7ACC60F3" w14:textId="7875AAE2" w:rsidR="00ED5CC5" w:rsidRDefault="00ED5CC5" w:rsidP="00F16266">
      <w:pPr>
        <w:rPr>
          <w:noProof/>
        </w:rPr>
      </w:pPr>
    </w:p>
    <w:p w14:paraId="1F51BE9D" w14:textId="45857315" w:rsidR="00F16266" w:rsidRPr="00F16266" w:rsidRDefault="00F16266" w:rsidP="00F16266"/>
    <w:p w14:paraId="1E0A550B" w14:textId="68057CEF" w:rsidR="00F16266" w:rsidRPr="00F16266" w:rsidRDefault="00241E68" w:rsidP="00F16266">
      <w:r>
        <w:rPr>
          <w:noProof/>
        </w:rPr>
        <w:drawing>
          <wp:anchor distT="0" distB="0" distL="114300" distR="114300" simplePos="0" relativeHeight="251680256" behindDoc="1" locked="0" layoutInCell="1" allowOverlap="1" wp14:anchorId="7919380A" wp14:editId="35E86ADA">
            <wp:simplePos x="0" y="0"/>
            <wp:positionH relativeFrom="column">
              <wp:posOffset>1379750</wp:posOffset>
            </wp:positionH>
            <wp:positionV relativeFrom="paragraph">
              <wp:posOffset>135526</wp:posOffset>
            </wp:positionV>
            <wp:extent cx="3424632" cy="1166570"/>
            <wp:effectExtent l="0" t="0" r="4445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632" cy="11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6DADB7" w14:textId="7B819DF0" w:rsidR="00F16266" w:rsidRPr="00F16266" w:rsidRDefault="00F16266" w:rsidP="00F16266"/>
    <w:p w14:paraId="5311159A" w14:textId="28553601" w:rsidR="00002E4E" w:rsidRDefault="00002E4E" w:rsidP="00F16266">
      <w:pPr>
        <w:rPr>
          <w:noProof/>
        </w:rPr>
      </w:pPr>
    </w:p>
    <w:p w14:paraId="62C946E8" w14:textId="074F6E06" w:rsidR="00956876" w:rsidRDefault="00956876" w:rsidP="00F16266">
      <w:pPr>
        <w:rPr>
          <w:noProof/>
        </w:rPr>
      </w:pPr>
    </w:p>
    <w:p w14:paraId="3D9F0A23" w14:textId="401D4869" w:rsidR="00002E4E" w:rsidRDefault="00002E4E" w:rsidP="00F16266">
      <w:pPr>
        <w:rPr>
          <w:noProof/>
        </w:rPr>
      </w:pPr>
    </w:p>
    <w:p w14:paraId="7CC83954" w14:textId="0FF3B799" w:rsidR="007A4E48" w:rsidRDefault="007A4E48" w:rsidP="009C4DFF"/>
    <w:p w14:paraId="67F33837" w14:textId="13D7304B" w:rsidR="00F16266" w:rsidRPr="00F16266" w:rsidRDefault="00E15960" w:rsidP="00F16266">
      <w:r>
        <w:rPr>
          <w:b/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E9CDAE" wp14:editId="712883A1">
                <wp:simplePos x="0" y="0"/>
                <wp:positionH relativeFrom="column">
                  <wp:posOffset>-467360</wp:posOffset>
                </wp:positionH>
                <wp:positionV relativeFrom="paragraph">
                  <wp:posOffset>108585</wp:posOffset>
                </wp:positionV>
                <wp:extent cx="6708775" cy="55626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8775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2C766" w14:textId="6CABEF94" w:rsidR="00E842C2" w:rsidRDefault="00E842C2" w:rsidP="00E842C2">
                            <w:pPr>
                              <w:spacing w:after="0"/>
                              <w:rPr>
                                <w:rFonts w:ascii="Calibri" w:eastAsia="+mn-ea" w:hAnsi="Calibri" w:cs="+mn-cs"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</w:pPr>
                            <w:r w:rsidRPr="00010A3C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>Appendix 2</w:t>
                            </w:r>
                            <w:r w:rsidRPr="00010A3C">
                              <w:rPr>
                                <w:rFonts w:ascii="Calibri" w:eastAsia="+mn-ea" w:hAnsi="Calibri" w:cs="+mn-cs"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 xml:space="preserve"> Details of foodborne outbreaks investigated in Quarter </w:t>
                            </w:r>
                            <w:r w:rsidR="00BA1167" w:rsidRPr="00010A3C">
                              <w:rPr>
                                <w:rFonts w:ascii="Calibri" w:eastAsia="+mn-ea" w:hAnsi="Calibri" w:cs="+mn-cs"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>4</w:t>
                            </w:r>
                            <w:r w:rsidRPr="00010A3C">
                              <w:rPr>
                                <w:rFonts w:ascii="Calibri" w:eastAsia="+mn-ea" w:hAnsi="Calibri" w:cs="+mn-cs"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>, 20</w:t>
                            </w:r>
                            <w:r w:rsidR="007B47D8" w:rsidRPr="00010A3C">
                              <w:rPr>
                                <w:rFonts w:ascii="Calibri" w:eastAsia="+mn-ea" w:hAnsi="Calibri" w:cs="+mn-cs"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>20</w:t>
                            </w:r>
                            <w:r w:rsidRPr="00010A3C">
                              <w:rPr>
                                <w:rFonts w:ascii="Calibri" w:eastAsia="+mn-ea" w:hAnsi="Calibri" w:cs="+mn-cs"/>
                                <w:bCs/>
                                <w:color w:val="465E9C" w:themeColor="text2"/>
                                <w:kern w:val="24"/>
                                <w:sz w:val="22"/>
                                <w:szCs w:val="32"/>
                                <w:lang w:eastAsia="en-AU"/>
                              </w:rPr>
                              <w:t>:</w:t>
                            </w:r>
                          </w:p>
                          <w:p w14:paraId="51A965C4" w14:textId="7E935898" w:rsidR="0066016D" w:rsidRPr="00BB48D3" w:rsidRDefault="0074367C" w:rsidP="00BB48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hyperlink r:id="rId17" w:history="1">
                              <w:r w:rsidR="00B92123" w:rsidRPr="0074367C">
                                <w:rPr>
                                  <w:rStyle w:val="Hyperlink"/>
                                  <w:rFonts w:ascii="Calibri" w:hAnsi="Calibri"/>
                                  <w:sz w:val="16"/>
                                  <w:szCs w:val="16"/>
                                </w:rPr>
                                <w:t>https://ww2.health.wa.gov.au/~/media/Corp/Documents/Health-for/Infectious-disease/OZfoodnet/Word/WA-OzFoodnet-appendix2-2020-Q4.docx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9CDAE" id="Text Box 23" o:spid="_x0000_s1033" type="#_x0000_t202" style="position:absolute;margin-left:-36.8pt;margin-top:8.55pt;width:528.25pt;height:43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" filled="f" stroked="f" strokeweight=".5pt">
                <v:textbox>
                  <w:txbxContent>
                    <w:p w14:paraId="2DC2C766" w14:textId="6CABEF94" w:rsidR="00E842C2" w:rsidRDefault="00E842C2" w:rsidP="00E842C2">
                      <w:pPr>
                        <w:spacing w:after="0"/>
                        <w:rPr>
                          <w:rFonts w:ascii="Calibri" w:eastAsia="+mn-ea" w:hAnsi="Calibri" w:cs="+mn-cs"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</w:pPr>
                      <w:r w:rsidRPr="00010A3C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>Appendix 2</w:t>
                      </w:r>
                      <w:r w:rsidRPr="00010A3C">
                        <w:rPr>
                          <w:rFonts w:ascii="Calibri" w:eastAsia="+mn-ea" w:hAnsi="Calibri" w:cs="+mn-cs"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 xml:space="preserve"> Details of foodborne outbreaks investigated in Quarter </w:t>
                      </w:r>
                      <w:r w:rsidR="00BA1167" w:rsidRPr="00010A3C">
                        <w:rPr>
                          <w:rFonts w:ascii="Calibri" w:eastAsia="+mn-ea" w:hAnsi="Calibri" w:cs="+mn-cs"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>4</w:t>
                      </w:r>
                      <w:r w:rsidRPr="00010A3C">
                        <w:rPr>
                          <w:rFonts w:ascii="Calibri" w:eastAsia="+mn-ea" w:hAnsi="Calibri" w:cs="+mn-cs"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>, 20</w:t>
                      </w:r>
                      <w:r w:rsidR="007B47D8" w:rsidRPr="00010A3C">
                        <w:rPr>
                          <w:rFonts w:ascii="Calibri" w:eastAsia="+mn-ea" w:hAnsi="Calibri" w:cs="+mn-cs"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>20</w:t>
                      </w:r>
                      <w:r w:rsidRPr="00010A3C">
                        <w:rPr>
                          <w:rFonts w:ascii="Calibri" w:eastAsia="+mn-ea" w:hAnsi="Calibri" w:cs="+mn-cs"/>
                          <w:bCs/>
                          <w:color w:val="465E9C" w:themeColor="text2"/>
                          <w:kern w:val="24"/>
                          <w:sz w:val="22"/>
                          <w:szCs w:val="32"/>
                          <w:lang w:eastAsia="en-AU"/>
                        </w:rPr>
                        <w:t>:</w:t>
                      </w:r>
                    </w:p>
                    <w:p w14:paraId="51A965C4" w14:textId="7E935898" w:rsidR="0066016D" w:rsidRPr="00BB48D3" w:rsidRDefault="0074367C" w:rsidP="00BB48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hyperlink r:id="rId18" w:history="1">
                        <w:r w:rsidR="00B92123" w:rsidRPr="0074367C">
                          <w:rPr>
                            <w:rStyle w:val="Hyperlink"/>
                            <w:rFonts w:ascii="Calibri" w:hAnsi="Calibri"/>
                            <w:sz w:val="16"/>
                            <w:szCs w:val="16"/>
                          </w:rPr>
                          <w:t>https://ww2.health.wa.gov.au/~/media/Corp/Documents/Health-for/Infectious-disease/OZfoodnet/Word/WA-OzFoodnet-appendix2-2020-Q4.docx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670C42A" w14:textId="77777777" w:rsidR="00002E4E" w:rsidRDefault="00002E4E" w:rsidP="00F16266"/>
    <w:p w14:paraId="0AF8CCAB" w14:textId="1E6F7F3B" w:rsidR="00F16266" w:rsidRPr="00F16266" w:rsidRDefault="009A7D15" w:rsidP="00F16266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996EBB" wp14:editId="6EAF9098">
                <wp:simplePos x="0" y="0"/>
                <wp:positionH relativeFrom="column">
                  <wp:posOffset>-476250</wp:posOffset>
                </wp:positionH>
                <wp:positionV relativeFrom="paragraph">
                  <wp:posOffset>322580</wp:posOffset>
                </wp:positionV>
                <wp:extent cx="6708775" cy="50292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8775" cy="5029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BC760" w14:textId="3F6D060E" w:rsidR="00447A73" w:rsidRPr="00600F2C" w:rsidRDefault="00F16266" w:rsidP="0012565F">
                            <w:pPr>
                              <w:spacing w:after="0"/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</w:pPr>
                            <w:r w:rsidRPr="00010A3C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 xml:space="preserve">Key trends from Quarter </w:t>
                            </w:r>
                            <w:r w:rsidR="00BA1167" w:rsidRPr="00010A3C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4</w:t>
                            </w:r>
                            <w:r w:rsidRPr="00010A3C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 xml:space="preserve"> 20</w:t>
                            </w:r>
                            <w:r w:rsidR="00BF4F31" w:rsidRPr="00010A3C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465E9C" w:themeColor="text2"/>
                                <w:kern w:val="24"/>
                                <w:sz w:val="32"/>
                                <w:szCs w:val="32"/>
                                <w:lang w:eastAsia="en-AU"/>
                              </w:rPr>
                              <w:t>20</w:t>
                            </w:r>
                          </w:p>
                          <w:p w14:paraId="215C961A" w14:textId="77777777" w:rsidR="00D050EF" w:rsidRPr="00931BD5" w:rsidRDefault="00D050EF" w:rsidP="0012565F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eastAsia="en-AU"/>
                              </w:rPr>
                            </w:pPr>
                          </w:p>
                          <w:p w14:paraId="77F73052" w14:textId="77777777" w:rsidR="00BB48D3" w:rsidRPr="00931BD5" w:rsidRDefault="00BB48D3" w:rsidP="00BB48D3">
                            <w:pPr>
                              <w:rPr>
                                <w:rFonts w:eastAsia="Calibri" w:cs="Times New Roman"/>
                                <w:b/>
                                <w:color w:val="465E9C"/>
                                <w:sz w:val="20"/>
                                <w:szCs w:val="20"/>
                              </w:rPr>
                            </w:pPr>
                            <w:r w:rsidRPr="00931BD5">
                              <w:rPr>
                                <w:rFonts w:eastAsia="Calibri" w:cs="Times New Roman"/>
                                <w:b/>
                                <w:i/>
                                <w:color w:val="465E9C"/>
                                <w:sz w:val="20"/>
                                <w:szCs w:val="20"/>
                              </w:rPr>
                              <w:t>Salmonella</w:t>
                            </w:r>
                            <w:r w:rsidRPr="00931BD5">
                              <w:rPr>
                                <w:rFonts w:eastAsia="Calibri" w:cs="Times New Roman"/>
                                <w:b/>
                                <w:color w:val="465E9C"/>
                                <w:sz w:val="20"/>
                                <w:szCs w:val="20"/>
                              </w:rPr>
                              <w:t xml:space="preserve"> Typhimurium (STM) MLVA</w:t>
                            </w:r>
                            <w:r w:rsidRPr="00C862D8">
                              <w:rPr>
                                <w:rFonts w:eastAsia="Calibri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0F2C">
                              <w:rPr>
                                <w:rFonts w:eastAsia="Calibri" w:cs="Times New Roman"/>
                                <w:b/>
                                <w:color w:val="465E9C" w:themeColor="text2"/>
                                <w:sz w:val="20"/>
                                <w:szCs w:val="20"/>
                              </w:rPr>
                              <w:t xml:space="preserve">03-17-09-12-523 </w:t>
                            </w:r>
                          </w:p>
                          <w:p w14:paraId="2BE4063B" w14:textId="7AA2A7AB" w:rsidR="00085225" w:rsidRDefault="00BB48D3" w:rsidP="00BB48D3">
                            <w:pPr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</w:pPr>
                            <w:r w:rsidRPr="009953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STM MLVA 03-17-09-12-523 </w:t>
                            </w:r>
                            <w:r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has been under investigation since the type emerged in September 2016. From September 20</w:t>
                            </w:r>
                            <w:r w:rsidR="00931BD5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16 to </w:t>
                            </w:r>
                            <w:r w:rsidR="00BA1167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December</w:t>
                            </w:r>
                            <w:r w:rsidR="00931BD5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="00F51AF5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20</w:t>
                            </w:r>
                            <w:r w:rsidR="00931BD5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there </w:t>
                            </w:r>
                            <w:r w:rsidR="00995323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were </w:t>
                            </w:r>
                            <w:r w:rsidR="00BA1167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1868</w:t>
                            </w:r>
                            <w:r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cases notified</w:t>
                            </w:r>
                            <w:r w:rsidR="00931BD5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, including </w:t>
                            </w:r>
                            <w:r w:rsidR="00BA1167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57</w:t>
                            </w:r>
                            <w:r w:rsidR="00995323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cases in </w:t>
                            </w:r>
                            <w:r w:rsidR="00BA1167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4</w:t>
                            </w:r>
                            <w:r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Q</w:t>
                            </w:r>
                            <w:r w:rsidR="00171EAF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20</w:t>
                            </w:r>
                            <w:r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6E8407A9" w14:textId="230644C2" w:rsidR="00D57B99" w:rsidRDefault="00BB48D3" w:rsidP="00BB48D3">
                            <w:pPr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</w:pPr>
                            <w:r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This MLVA type was the single mos</w:t>
                            </w:r>
                            <w:r w:rsidR="00600F2C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t common MLVA type notified in </w:t>
                            </w:r>
                            <w:r w:rsidR="00BA1167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4</w:t>
                            </w:r>
                            <w:r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Q</w:t>
                            </w:r>
                            <w:r w:rsidR="006441F7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20</w:t>
                            </w:r>
                            <w:r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, constituting </w:t>
                            </w:r>
                            <w:r w:rsidR="00BA1167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24</w:t>
                            </w:r>
                            <w:r w:rsidRPr="002D5423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>%</w:t>
                            </w:r>
                            <w:r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of STM notifications for the quarter. </w:t>
                            </w:r>
                          </w:p>
                          <w:p w14:paraId="1D8D240E" w14:textId="757EF3B4" w:rsidR="00D57B99" w:rsidRDefault="006441F7" w:rsidP="00BB48D3">
                            <w:pPr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</w:pPr>
                            <w:r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Of the </w:t>
                            </w:r>
                            <w:r w:rsidR="00BA1167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57</w:t>
                            </w:r>
                            <w:r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cases, </w:t>
                            </w:r>
                            <w:r w:rsidR="00BA1167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3</w:t>
                            </w:r>
                            <w:r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BA1167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5</w:t>
                            </w:r>
                            <w:r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%) were part of </w:t>
                            </w:r>
                            <w:r w:rsidR="00BA1167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 w:rsidR="00600F2C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point source outbreak</w:t>
                            </w:r>
                            <w:r w:rsidR="00BA1167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(outbreak code </w:t>
                            </w:r>
                            <w:r w:rsidR="00BA1167" w:rsidRPr="00BA1167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042-2020-018</w:t>
                            </w:r>
                            <w:r w:rsidR="00BA1167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)</w:t>
                            </w:r>
                            <w:r w:rsidR="00600F2C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BA1167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There was also an additional outbreak (outbreak code </w:t>
                            </w:r>
                            <w:r w:rsidR="00BA1167" w:rsidRPr="00BA1167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042-2020-017</w:t>
                            </w:r>
                            <w:r w:rsidR="00BA1167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) of </w:t>
                            </w:r>
                            <w:r w:rsidR="00BA1167" w:rsidRPr="009953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STM MLVA 03-17-09-12-523</w:t>
                            </w:r>
                            <w:r w:rsidR="00BA1167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investigated in the 4</w:t>
                            </w:r>
                            <w:r w:rsidR="00BA1167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Q20</w:t>
                            </w:r>
                            <w:r w:rsidR="00BA1167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, but the dates of onset were in late September.</w:t>
                            </w:r>
                          </w:p>
                          <w:p w14:paraId="6105A190" w14:textId="19D3570B" w:rsidR="00BB48D3" w:rsidRPr="00627EBE" w:rsidRDefault="00ED5CC5" w:rsidP="00BB48D3">
                            <w:pPr>
                              <w:rPr>
                                <w:rFonts w:eastAsia="Calibri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Tiramisu</w:t>
                            </w:r>
                            <w:r w:rsidR="00240211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containing raw eggs</w:t>
                            </w:r>
                            <w:r w:rsidR="00DE7A17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48B3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was implicated in </w:t>
                            </w:r>
                            <w:r w:rsidR="00D0395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both</w:t>
                            </w:r>
                            <w:r w:rsidR="002848B3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outbreak</w:t>
                            </w:r>
                            <w:r w:rsidR="00D0395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 w:rsidR="002848B3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. Of the remaining </w:t>
                            </w:r>
                            <w:r w:rsidR="00BA1167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54</w:t>
                            </w:r>
                            <w:r w:rsidR="002848B3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cases, most (</w:t>
                            </w:r>
                            <w:r w:rsidR="00D0395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9</w:t>
                            </w:r>
                            <w:r w:rsidR="00BA1167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="002848B3" w:rsidRPr="002D5423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%) resided in the Perth metropolitan area. </w:t>
                            </w:r>
                            <w:r w:rsidR="002848B3" w:rsidRPr="000D2CB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Hospitalisation data were confirmed for </w:t>
                            </w:r>
                            <w:r w:rsidR="00BA1167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46</w:t>
                            </w:r>
                            <w:r w:rsidR="002848B3" w:rsidRPr="000D2CB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community cases; </w:t>
                            </w:r>
                            <w:r w:rsidR="00BA1167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17</w:t>
                            </w:r>
                            <w:r w:rsidR="002848B3" w:rsidRPr="000D2CB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% were hospitalised.</w:t>
                            </w:r>
                          </w:p>
                          <w:p w14:paraId="3014012F" w14:textId="38233CB1" w:rsidR="00D050EF" w:rsidRPr="00FC2612" w:rsidRDefault="00BA1167" w:rsidP="00F25D18">
                            <w:pPr>
                              <w:jc w:val="center"/>
                            </w:pPr>
                            <w:r w:rsidRPr="00BA1167">
                              <w:rPr>
                                <w:noProof/>
                              </w:rPr>
                              <w:drawing>
                                <wp:inline distT="0" distB="0" distL="0" distR="0" wp14:anchorId="74BD4667" wp14:editId="637C36BB">
                                  <wp:extent cx="5515521" cy="2414397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7173" cy="24194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7E22D2" w14:textId="071FEC12" w:rsidR="00D050EF" w:rsidRPr="00600F2C" w:rsidRDefault="00DB0727" w:rsidP="00D050EF">
                            <w:pPr>
                              <w:pStyle w:val="Caption"/>
                              <w:spacing w:line="240" w:lineRule="auto"/>
                              <w:rPr>
                                <w:color w:val="465E9C" w:themeColor="text2"/>
                                <w:sz w:val="20"/>
                              </w:rPr>
                            </w:pPr>
                            <w:r w:rsidRPr="00F25D18">
                              <w:rPr>
                                <w:color w:val="465E9C" w:themeColor="text2"/>
                                <w:sz w:val="20"/>
                              </w:rPr>
                              <w:t>Figure</w:t>
                            </w:r>
                            <w:r w:rsidR="00D050EF" w:rsidRPr="00F25D18">
                              <w:rPr>
                                <w:color w:val="465E9C" w:themeColor="text2"/>
                                <w:sz w:val="20"/>
                              </w:rPr>
                              <w:t xml:space="preserve">: </w:t>
                            </w:r>
                            <w:r w:rsidR="00D050EF" w:rsidRPr="00600F2C">
                              <w:rPr>
                                <w:color w:val="465E9C" w:themeColor="text2"/>
                                <w:sz w:val="20"/>
                              </w:rPr>
                              <w:t xml:space="preserve">Notifications of </w:t>
                            </w:r>
                            <w:r w:rsidR="00D050EF" w:rsidRPr="00600F2C">
                              <w:rPr>
                                <w:i/>
                                <w:color w:val="465E9C" w:themeColor="text2"/>
                                <w:sz w:val="20"/>
                              </w:rPr>
                              <w:t>Salmonella</w:t>
                            </w:r>
                            <w:r w:rsidR="00D050EF" w:rsidRPr="00600F2C">
                              <w:rPr>
                                <w:color w:val="465E9C" w:themeColor="text2"/>
                                <w:sz w:val="20"/>
                              </w:rPr>
                              <w:t xml:space="preserve"> Typhimurium MLVA 03-17-09-12-523 in WA</w:t>
                            </w:r>
                            <w:r w:rsidR="00D03951">
                              <w:rPr>
                                <w:color w:val="465E9C" w:themeColor="text2"/>
                                <w:sz w:val="20"/>
                              </w:rPr>
                              <w:t>,</w:t>
                            </w:r>
                            <w:r w:rsidR="00D050EF" w:rsidRPr="00600F2C">
                              <w:rPr>
                                <w:color w:val="465E9C" w:themeColor="text2"/>
                                <w:sz w:val="20"/>
                              </w:rPr>
                              <w:t xml:space="preserve"> 2016 to </w:t>
                            </w:r>
                            <w:r w:rsidR="00BA1167">
                              <w:rPr>
                                <w:color w:val="465E9C" w:themeColor="text2"/>
                                <w:sz w:val="20"/>
                              </w:rPr>
                              <w:t>December</w:t>
                            </w:r>
                            <w:r w:rsidR="00D050EF" w:rsidRPr="00600F2C">
                              <w:rPr>
                                <w:color w:val="465E9C" w:themeColor="text2"/>
                                <w:sz w:val="20"/>
                              </w:rPr>
                              <w:t xml:space="preserve"> 20</w:t>
                            </w:r>
                            <w:r w:rsidR="00BF4F31">
                              <w:rPr>
                                <w:color w:val="465E9C" w:themeColor="text2"/>
                                <w:sz w:val="20"/>
                              </w:rPr>
                              <w:t>20</w:t>
                            </w:r>
                          </w:p>
                          <w:p w14:paraId="240A955A" w14:textId="77777777" w:rsidR="00256108" w:rsidRPr="0014114D" w:rsidRDefault="00256108" w:rsidP="0087065F">
                            <w:pPr>
                              <w:spacing w:line="36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96EBB" id="_x0000_s1034" type="#_x0000_t202" style="position:absolute;margin-left:-37.5pt;margin-top:25.4pt;width:528.25pt;height:39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" fillcolor="#d7dded [671]" stroked="f">
                <v:fill opacity="32896f"/>
                <v:textbox>
                  <w:txbxContent>
                    <w:p w14:paraId="453BC760" w14:textId="3F6D060E" w:rsidR="00447A73" w:rsidRPr="00600F2C" w:rsidRDefault="00F16266" w:rsidP="0012565F">
                      <w:pPr>
                        <w:spacing w:after="0"/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</w:pPr>
                      <w:r w:rsidRPr="00010A3C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 xml:space="preserve">Key trends from Quarter </w:t>
                      </w:r>
                      <w:r w:rsidR="00BA1167" w:rsidRPr="00010A3C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4</w:t>
                      </w:r>
                      <w:r w:rsidRPr="00010A3C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 xml:space="preserve"> 20</w:t>
                      </w:r>
                      <w:r w:rsidR="00BF4F31" w:rsidRPr="00010A3C">
                        <w:rPr>
                          <w:rFonts w:ascii="Calibri" w:eastAsia="+mn-ea" w:hAnsi="Calibri" w:cs="+mn-cs"/>
                          <w:b/>
                          <w:bCs/>
                          <w:color w:val="465E9C" w:themeColor="text2"/>
                          <w:kern w:val="24"/>
                          <w:sz w:val="32"/>
                          <w:szCs w:val="32"/>
                          <w:lang w:eastAsia="en-AU"/>
                        </w:rPr>
                        <w:t>20</w:t>
                      </w:r>
                    </w:p>
                    <w:p w14:paraId="215C961A" w14:textId="77777777" w:rsidR="00D050EF" w:rsidRPr="00931BD5" w:rsidRDefault="00D050EF" w:rsidP="0012565F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32"/>
                          <w:szCs w:val="32"/>
                          <w:lang w:eastAsia="en-AU"/>
                        </w:rPr>
                      </w:pPr>
                    </w:p>
                    <w:p w14:paraId="77F73052" w14:textId="77777777" w:rsidR="00BB48D3" w:rsidRPr="00931BD5" w:rsidRDefault="00BB48D3" w:rsidP="00BB48D3">
                      <w:pPr>
                        <w:rPr>
                          <w:rFonts w:eastAsia="Calibri" w:cs="Times New Roman"/>
                          <w:b/>
                          <w:color w:val="465E9C"/>
                          <w:sz w:val="20"/>
                          <w:szCs w:val="20"/>
                        </w:rPr>
                      </w:pPr>
                      <w:r w:rsidRPr="00931BD5">
                        <w:rPr>
                          <w:rFonts w:eastAsia="Calibri" w:cs="Times New Roman"/>
                          <w:b/>
                          <w:i/>
                          <w:color w:val="465E9C"/>
                          <w:sz w:val="20"/>
                          <w:szCs w:val="20"/>
                        </w:rPr>
                        <w:t>Salmonella</w:t>
                      </w:r>
                      <w:r w:rsidRPr="00931BD5">
                        <w:rPr>
                          <w:rFonts w:eastAsia="Calibri" w:cs="Times New Roman"/>
                          <w:b/>
                          <w:color w:val="465E9C"/>
                          <w:sz w:val="20"/>
                          <w:szCs w:val="20"/>
                        </w:rPr>
                        <w:t xml:space="preserve"> Typhimurium (STM) MLVA</w:t>
                      </w:r>
                      <w:r w:rsidRPr="00C862D8">
                        <w:rPr>
                          <w:rFonts w:eastAsia="Calibri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600F2C">
                        <w:rPr>
                          <w:rFonts w:eastAsia="Calibri" w:cs="Times New Roman"/>
                          <w:b/>
                          <w:color w:val="465E9C" w:themeColor="text2"/>
                          <w:sz w:val="20"/>
                          <w:szCs w:val="20"/>
                        </w:rPr>
                        <w:t xml:space="preserve">03-17-09-12-523 </w:t>
                      </w:r>
                    </w:p>
                    <w:p w14:paraId="2BE4063B" w14:textId="7AA2A7AB" w:rsidR="00085225" w:rsidRDefault="00BB48D3" w:rsidP="00BB48D3">
                      <w:pPr>
                        <w:rPr>
                          <w:rFonts w:eastAsia="Calibri" w:cs="Times New Roman"/>
                          <w:sz w:val="20"/>
                          <w:szCs w:val="20"/>
                        </w:rPr>
                      </w:pPr>
                      <w:r w:rsidRPr="009953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STM MLVA 03-17-09-12-523 </w:t>
                      </w:r>
                      <w:r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>has been under investigation since the type emerged in September 2016. From September 20</w:t>
                      </w:r>
                      <w:r w:rsidR="00931BD5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16 to </w:t>
                      </w:r>
                      <w:r w:rsidR="00BA1167">
                        <w:rPr>
                          <w:rFonts w:eastAsia="Calibri" w:cs="Times New Roman"/>
                          <w:sz w:val="20"/>
                          <w:szCs w:val="20"/>
                        </w:rPr>
                        <w:t>December</w:t>
                      </w:r>
                      <w:r w:rsidR="00931BD5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20</w:t>
                      </w:r>
                      <w:r w:rsidR="00F51AF5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>20</w:t>
                      </w:r>
                      <w:r w:rsidR="00931BD5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there </w:t>
                      </w:r>
                      <w:r w:rsidR="00995323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were </w:t>
                      </w:r>
                      <w:r w:rsidR="00BA1167">
                        <w:rPr>
                          <w:rFonts w:eastAsia="Calibri" w:cs="Times New Roman"/>
                          <w:sz w:val="20"/>
                          <w:szCs w:val="20"/>
                        </w:rPr>
                        <w:t>1868</w:t>
                      </w:r>
                      <w:r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cases notified</w:t>
                      </w:r>
                      <w:r w:rsidR="00931BD5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, including </w:t>
                      </w:r>
                      <w:r w:rsidR="00BA1167">
                        <w:rPr>
                          <w:rFonts w:eastAsia="Calibri" w:cs="Times New Roman"/>
                          <w:sz w:val="20"/>
                          <w:szCs w:val="20"/>
                        </w:rPr>
                        <w:t>57</w:t>
                      </w:r>
                      <w:r w:rsidR="00995323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cases in </w:t>
                      </w:r>
                      <w:r w:rsidR="00BA1167">
                        <w:rPr>
                          <w:rFonts w:eastAsia="Calibri" w:cs="Times New Roman"/>
                          <w:sz w:val="20"/>
                          <w:szCs w:val="20"/>
                        </w:rPr>
                        <w:t>4</w:t>
                      </w:r>
                      <w:r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>Q</w:t>
                      </w:r>
                      <w:r w:rsidR="00171EAF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>20</w:t>
                      </w:r>
                      <w:r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6E8407A9" w14:textId="230644C2" w:rsidR="00D57B99" w:rsidRDefault="00BB48D3" w:rsidP="00BB48D3">
                      <w:pPr>
                        <w:rPr>
                          <w:rFonts w:eastAsia="Calibri" w:cs="Times New Roman"/>
                          <w:sz w:val="20"/>
                          <w:szCs w:val="20"/>
                        </w:rPr>
                      </w:pPr>
                      <w:r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>This MLVA type was the single mos</w:t>
                      </w:r>
                      <w:r w:rsidR="00600F2C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t common MLVA type notified in </w:t>
                      </w:r>
                      <w:r w:rsidR="00BA1167">
                        <w:rPr>
                          <w:rFonts w:eastAsia="Calibri" w:cs="Times New Roman"/>
                          <w:sz w:val="20"/>
                          <w:szCs w:val="20"/>
                        </w:rPr>
                        <w:t>4</w:t>
                      </w:r>
                      <w:r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>Q</w:t>
                      </w:r>
                      <w:r w:rsidR="006441F7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>20</w:t>
                      </w:r>
                      <w:r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, constituting </w:t>
                      </w:r>
                      <w:r w:rsidR="00BA1167">
                        <w:rPr>
                          <w:rFonts w:eastAsia="Calibri" w:cs="Times New Roman"/>
                          <w:sz w:val="20"/>
                          <w:szCs w:val="20"/>
                        </w:rPr>
                        <w:t>24</w:t>
                      </w:r>
                      <w:r w:rsidRPr="002D5423">
                        <w:rPr>
                          <w:rFonts w:eastAsia="Calibri" w:cs="Arial"/>
                          <w:sz w:val="20"/>
                          <w:szCs w:val="20"/>
                        </w:rPr>
                        <w:t>%</w:t>
                      </w:r>
                      <w:r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of STM notifications for the quarter. </w:t>
                      </w:r>
                    </w:p>
                    <w:p w14:paraId="1D8D240E" w14:textId="757EF3B4" w:rsidR="00D57B99" w:rsidRDefault="006441F7" w:rsidP="00BB48D3">
                      <w:pPr>
                        <w:rPr>
                          <w:rFonts w:eastAsia="Calibri" w:cs="Times New Roman"/>
                          <w:sz w:val="20"/>
                          <w:szCs w:val="20"/>
                        </w:rPr>
                      </w:pPr>
                      <w:r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Of the </w:t>
                      </w:r>
                      <w:r w:rsidR="00BA1167">
                        <w:rPr>
                          <w:rFonts w:eastAsia="Calibri" w:cs="Times New Roman"/>
                          <w:sz w:val="20"/>
                          <w:szCs w:val="20"/>
                        </w:rPr>
                        <w:t>57</w:t>
                      </w:r>
                      <w:r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cases, </w:t>
                      </w:r>
                      <w:r w:rsidR="00BA1167">
                        <w:rPr>
                          <w:rFonts w:eastAsia="Calibri" w:cs="Times New Roman"/>
                          <w:sz w:val="20"/>
                          <w:szCs w:val="20"/>
                        </w:rPr>
                        <w:t>3</w:t>
                      </w:r>
                      <w:r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(</w:t>
                      </w:r>
                      <w:r w:rsidR="00BA1167">
                        <w:rPr>
                          <w:rFonts w:eastAsia="Calibri" w:cs="Times New Roman"/>
                          <w:sz w:val="20"/>
                          <w:szCs w:val="20"/>
                        </w:rPr>
                        <w:t>5</w:t>
                      </w:r>
                      <w:r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%) were part of </w:t>
                      </w:r>
                      <w:r w:rsidR="00BA1167">
                        <w:rPr>
                          <w:rFonts w:eastAsia="Calibri" w:cs="Times New Roman"/>
                          <w:sz w:val="20"/>
                          <w:szCs w:val="20"/>
                        </w:rPr>
                        <w:t>a</w:t>
                      </w:r>
                      <w:r w:rsidR="00600F2C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point source outbreak</w:t>
                      </w:r>
                      <w:r w:rsidR="00BA1167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(outbreak code </w:t>
                      </w:r>
                      <w:r w:rsidR="00BA1167" w:rsidRPr="00BA1167">
                        <w:rPr>
                          <w:rFonts w:eastAsia="Calibri" w:cs="Times New Roman"/>
                          <w:sz w:val="20"/>
                          <w:szCs w:val="20"/>
                        </w:rPr>
                        <w:t>042-2020-018</w:t>
                      </w:r>
                      <w:r w:rsidR="00BA1167">
                        <w:rPr>
                          <w:rFonts w:eastAsia="Calibri" w:cs="Times New Roman"/>
                          <w:sz w:val="20"/>
                          <w:szCs w:val="20"/>
                        </w:rPr>
                        <w:t>)</w:t>
                      </w:r>
                      <w:r w:rsidR="00600F2C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. </w:t>
                      </w:r>
                      <w:r w:rsidR="00BA1167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There was also an additional outbreak (outbreak code </w:t>
                      </w:r>
                      <w:r w:rsidR="00BA1167" w:rsidRPr="00BA1167">
                        <w:rPr>
                          <w:rFonts w:eastAsia="Calibri" w:cs="Times New Roman"/>
                          <w:sz w:val="20"/>
                          <w:szCs w:val="20"/>
                        </w:rPr>
                        <w:t>042-2020-017</w:t>
                      </w:r>
                      <w:r w:rsidR="00BA1167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) of </w:t>
                      </w:r>
                      <w:r w:rsidR="00BA1167" w:rsidRPr="00995323">
                        <w:rPr>
                          <w:rFonts w:eastAsia="Calibri" w:cs="Times New Roman"/>
                          <w:sz w:val="20"/>
                          <w:szCs w:val="20"/>
                        </w:rPr>
                        <w:t>STM MLVA 03-17-09-12-523</w:t>
                      </w:r>
                      <w:r w:rsidR="00BA1167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investigated in the 4</w:t>
                      </w:r>
                      <w:r w:rsidR="00BA1167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>Q20</w:t>
                      </w:r>
                      <w:r w:rsidR="00BA1167">
                        <w:rPr>
                          <w:rFonts w:eastAsia="Calibri" w:cs="Times New Roman"/>
                          <w:sz w:val="20"/>
                          <w:szCs w:val="20"/>
                        </w:rPr>
                        <w:t>, but the dates of onset were in late September.</w:t>
                      </w:r>
                    </w:p>
                    <w:p w14:paraId="6105A190" w14:textId="19D3570B" w:rsidR="00BB48D3" w:rsidRPr="00627EBE" w:rsidRDefault="00ED5CC5" w:rsidP="00BB48D3">
                      <w:pPr>
                        <w:rPr>
                          <w:rFonts w:eastAsia="Calibri" w:cs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>Tiramisu</w:t>
                      </w:r>
                      <w:r w:rsidR="00240211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containing raw eggs</w:t>
                      </w:r>
                      <w:r w:rsidR="00DE7A17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</w:t>
                      </w:r>
                      <w:r w:rsidR="002848B3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was implicated in </w:t>
                      </w:r>
                      <w:r w:rsidR="00D03951">
                        <w:rPr>
                          <w:rFonts w:eastAsia="Calibri" w:cs="Times New Roman"/>
                          <w:sz w:val="20"/>
                          <w:szCs w:val="20"/>
                        </w:rPr>
                        <w:t>both</w:t>
                      </w:r>
                      <w:r w:rsidR="002848B3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outbreak</w:t>
                      </w:r>
                      <w:r w:rsidR="00D03951">
                        <w:rPr>
                          <w:rFonts w:eastAsia="Calibri" w:cs="Times New Roman"/>
                          <w:sz w:val="20"/>
                          <w:szCs w:val="20"/>
                        </w:rPr>
                        <w:t>s</w:t>
                      </w:r>
                      <w:r w:rsidR="002848B3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. Of the remaining </w:t>
                      </w:r>
                      <w:r w:rsidR="00BA1167">
                        <w:rPr>
                          <w:rFonts w:eastAsia="Calibri" w:cs="Times New Roman"/>
                          <w:sz w:val="20"/>
                          <w:szCs w:val="20"/>
                        </w:rPr>
                        <w:t>54</w:t>
                      </w:r>
                      <w:r w:rsidR="002848B3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cases, most (</w:t>
                      </w:r>
                      <w:r w:rsidR="00D03951">
                        <w:rPr>
                          <w:rFonts w:eastAsia="Calibri" w:cs="Times New Roman"/>
                          <w:sz w:val="20"/>
                          <w:szCs w:val="20"/>
                        </w:rPr>
                        <w:t>9</w:t>
                      </w:r>
                      <w:r w:rsidR="00BA1167">
                        <w:rPr>
                          <w:rFonts w:eastAsia="Calibri" w:cs="Times New Roman"/>
                          <w:sz w:val="20"/>
                          <w:szCs w:val="20"/>
                        </w:rPr>
                        <w:t>1</w:t>
                      </w:r>
                      <w:r w:rsidR="002848B3" w:rsidRPr="002D5423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%) resided in the Perth metropolitan area. </w:t>
                      </w:r>
                      <w:r w:rsidR="002848B3" w:rsidRPr="000D2CB1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Hospitalisation data were confirmed for </w:t>
                      </w:r>
                      <w:r w:rsidR="00BA1167">
                        <w:rPr>
                          <w:rFonts w:eastAsia="Calibri" w:cs="Times New Roman"/>
                          <w:sz w:val="20"/>
                          <w:szCs w:val="20"/>
                        </w:rPr>
                        <w:t>46</w:t>
                      </w:r>
                      <w:r w:rsidR="002848B3" w:rsidRPr="000D2CB1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community cases; </w:t>
                      </w:r>
                      <w:r w:rsidR="00BA1167">
                        <w:rPr>
                          <w:rFonts w:eastAsia="Calibri" w:cs="Times New Roman"/>
                          <w:sz w:val="20"/>
                          <w:szCs w:val="20"/>
                        </w:rPr>
                        <w:t>17</w:t>
                      </w:r>
                      <w:r w:rsidR="002848B3" w:rsidRPr="000D2CB1">
                        <w:rPr>
                          <w:rFonts w:eastAsia="Calibri" w:cs="Times New Roman"/>
                          <w:sz w:val="20"/>
                          <w:szCs w:val="20"/>
                        </w:rPr>
                        <w:t>% were hospitalised.</w:t>
                      </w:r>
                    </w:p>
                    <w:p w14:paraId="3014012F" w14:textId="38233CB1" w:rsidR="00D050EF" w:rsidRPr="00FC2612" w:rsidRDefault="00BA1167" w:rsidP="00F25D18">
                      <w:pPr>
                        <w:jc w:val="center"/>
                      </w:pPr>
                      <w:r w:rsidRPr="00BA1167">
                        <w:rPr>
                          <w:noProof/>
                        </w:rPr>
                        <w:drawing>
                          <wp:inline distT="0" distB="0" distL="0" distR="0" wp14:anchorId="74BD4667" wp14:editId="637C36BB">
                            <wp:extent cx="5515521" cy="2414397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7173" cy="24194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7E22D2" w14:textId="071FEC12" w:rsidR="00D050EF" w:rsidRPr="00600F2C" w:rsidRDefault="00DB0727" w:rsidP="00D050EF">
                      <w:pPr>
                        <w:pStyle w:val="Caption"/>
                        <w:spacing w:line="240" w:lineRule="auto"/>
                        <w:rPr>
                          <w:color w:val="465E9C" w:themeColor="text2"/>
                          <w:sz w:val="20"/>
                        </w:rPr>
                      </w:pPr>
                      <w:r w:rsidRPr="00F25D18">
                        <w:rPr>
                          <w:color w:val="465E9C" w:themeColor="text2"/>
                          <w:sz w:val="20"/>
                        </w:rPr>
                        <w:t>Figure</w:t>
                      </w:r>
                      <w:r w:rsidR="00D050EF" w:rsidRPr="00F25D18">
                        <w:rPr>
                          <w:color w:val="465E9C" w:themeColor="text2"/>
                          <w:sz w:val="20"/>
                        </w:rPr>
                        <w:t xml:space="preserve">: </w:t>
                      </w:r>
                      <w:r w:rsidR="00D050EF" w:rsidRPr="00600F2C">
                        <w:rPr>
                          <w:color w:val="465E9C" w:themeColor="text2"/>
                          <w:sz w:val="20"/>
                        </w:rPr>
                        <w:t xml:space="preserve">Notifications of </w:t>
                      </w:r>
                      <w:r w:rsidR="00D050EF" w:rsidRPr="00600F2C">
                        <w:rPr>
                          <w:i/>
                          <w:color w:val="465E9C" w:themeColor="text2"/>
                          <w:sz w:val="20"/>
                        </w:rPr>
                        <w:t>Salmonella</w:t>
                      </w:r>
                      <w:r w:rsidR="00D050EF" w:rsidRPr="00600F2C">
                        <w:rPr>
                          <w:color w:val="465E9C" w:themeColor="text2"/>
                          <w:sz w:val="20"/>
                        </w:rPr>
                        <w:t xml:space="preserve"> Typhimurium MLVA 03-17-09-12-523 in WA</w:t>
                      </w:r>
                      <w:r w:rsidR="00D03951">
                        <w:rPr>
                          <w:color w:val="465E9C" w:themeColor="text2"/>
                          <w:sz w:val="20"/>
                        </w:rPr>
                        <w:t>,</w:t>
                      </w:r>
                      <w:r w:rsidR="00D050EF" w:rsidRPr="00600F2C">
                        <w:rPr>
                          <w:color w:val="465E9C" w:themeColor="text2"/>
                          <w:sz w:val="20"/>
                        </w:rPr>
                        <w:t xml:space="preserve"> 2016 to </w:t>
                      </w:r>
                      <w:r w:rsidR="00BA1167">
                        <w:rPr>
                          <w:color w:val="465E9C" w:themeColor="text2"/>
                          <w:sz w:val="20"/>
                        </w:rPr>
                        <w:t>December</w:t>
                      </w:r>
                      <w:r w:rsidR="00D050EF" w:rsidRPr="00600F2C">
                        <w:rPr>
                          <w:color w:val="465E9C" w:themeColor="text2"/>
                          <w:sz w:val="20"/>
                        </w:rPr>
                        <w:t xml:space="preserve"> 20</w:t>
                      </w:r>
                      <w:r w:rsidR="00BF4F31">
                        <w:rPr>
                          <w:color w:val="465E9C" w:themeColor="text2"/>
                          <w:sz w:val="20"/>
                        </w:rPr>
                        <w:t>20</w:t>
                      </w:r>
                    </w:p>
                    <w:p w14:paraId="240A955A" w14:textId="77777777" w:rsidR="00256108" w:rsidRPr="0014114D" w:rsidRDefault="00256108" w:rsidP="0087065F">
                      <w:pPr>
                        <w:spacing w:line="360" w:lineRule="auto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D080FC" w14:textId="245C4E4E" w:rsidR="00F16266" w:rsidRDefault="00F16266" w:rsidP="00F16266"/>
    <w:p w14:paraId="2AF0F440" w14:textId="3DE82101" w:rsidR="00286B46" w:rsidRDefault="00F16266" w:rsidP="00F16266">
      <w:pPr>
        <w:tabs>
          <w:tab w:val="left" w:pos="1861"/>
        </w:tabs>
      </w:pPr>
      <w:r>
        <w:tab/>
      </w:r>
    </w:p>
    <w:p w14:paraId="78D717A2" w14:textId="4BB7C1EC" w:rsidR="00286B46" w:rsidRPr="00286B46" w:rsidRDefault="00286B46" w:rsidP="00286B46"/>
    <w:p w14:paraId="6EB2A0A1" w14:textId="77777777" w:rsidR="00286B46" w:rsidRPr="00286B46" w:rsidRDefault="00286B46" w:rsidP="00286B46">
      <w:bookmarkStart w:id="0" w:name="_GoBack"/>
    </w:p>
    <w:bookmarkEnd w:id="0"/>
    <w:p w14:paraId="55C92737" w14:textId="7C4C4F32" w:rsidR="00286B46" w:rsidRDefault="00286B46" w:rsidP="00286B46"/>
    <w:p w14:paraId="20F24405" w14:textId="77777777" w:rsidR="009342F3" w:rsidRDefault="009342F3" w:rsidP="00286B46">
      <w:pPr>
        <w:rPr>
          <w:b/>
          <w:color w:val="FF0000"/>
        </w:rPr>
      </w:pPr>
    </w:p>
    <w:p w14:paraId="092841E5" w14:textId="6403C381" w:rsidR="009342F3" w:rsidRDefault="009342F3" w:rsidP="00286B46">
      <w:pPr>
        <w:rPr>
          <w:b/>
          <w:color w:val="FF0000"/>
        </w:rPr>
      </w:pPr>
    </w:p>
    <w:p w14:paraId="6874AC01" w14:textId="2F98DCC3" w:rsidR="009342F3" w:rsidRDefault="009342F3" w:rsidP="00286B46">
      <w:pPr>
        <w:rPr>
          <w:b/>
          <w:color w:val="FF0000"/>
        </w:rPr>
      </w:pPr>
    </w:p>
    <w:p w14:paraId="5EF79CF2" w14:textId="70BD36A3" w:rsidR="009342F3" w:rsidRDefault="009342F3" w:rsidP="00286B46">
      <w:pPr>
        <w:rPr>
          <w:b/>
          <w:color w:val="FF0000"/>
        </w:rPr>
      </w:pPr>
    </w:p>
    <w:p w14:paraId="5C4CD00C" w14:textId="77777777" w:rsidR="009342F3" w:rsidRDefault="009342F3" w:rsidP="00286B46">
      <w:pPr>
        <w:rPr>
          <w:b/>
          <w:color w:val="FF0000"/>
        </w:rPr>
      </w:pPr>
    </w:p>
    <w:p w14:paraId="09D637ED" w14:textId="16A21DC5" w:rsidR="0064090A" w:rsidRDefault="0064090A" w:rsidP="00286B46">
      <w:pPr>
        <w:rPr>
          <w:b/>
          <w:color w:val="FF0000"/>
        </w:rPr>
      </w:pPr>
    </w:p>
    <w:p w14:paraId="7A2C3139" w14:textId="3E80A003" w:rsidR="004C2780" w:rsidRDefault="004C2780" w:rsidP="00B62E68">
      <w:pPr>
        <w:rPr>
          <w:b/>
          <w:color w:val="FF0000"/>
        </w:rPr>
      </w:pPr>
    </w:p>
    <w:p w14:paraId="0C694568" w14:textId="2F0D5EBA" w:rsidR="005D47ED" w:rsidRDefault="005D47ED" w:rsidP="00B62E68">
      <w:pPr>
        <w:rPr>
          <w:b/>
          <w:color w:val="FF0000"/>
        </w:rPr>
      </w:pPr>
    </w:p>
    <w:p w14:paraId="3D985743" w14:textId="6403ADC9" w:rsidR="005D47ED" w:rsidRDefault="005D47ED" w:rsidP="00B62E68">
      <w:pPr>
        <w:rPr>
          <w:b/>
          <w:color w:val="FF0000"/>
        </w:rPr>
      </w:pPr>
    </w:p>
    <w:p w14:paraId="18586CD3" w14:textId="7919A7FF" w:rsidR="005D47ED" w:rsidRDefault="005D47ED" w:rsidP="00B62E68">
      <w:pPr>
        <w:rPr>
          <w:b/>
          <w:color w:val="FF0000"/>
        </w:rPr>
      </w:pPr>
    </w:p>
    <w:p w14:paraId="13539912" w14:textId="1744A4B9" w:rsidR="00A868F6" w:rsidRDefault="00A868F6" w:rsidP="00B62E68">
      <w:pPr>
        <w:rPr>
          <w:b/>
          <w:color w:val="FF0000"/>
        </w:rPr>
      </w:pPr>
    </w:p>
    <w:p w14:paraId="092406C8" w14:textId="3655DE79" w:rsidR="00DB0727" w:rsidRDefault="00D03951" w:rsidP="00B62E68">
      <w:pPr>
        <w:rPr>
          <w:b/>
          <w:color w:val="FF0000"/>
        </w:rPr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B1DB853" wp14:editId="2830A73B">
                <wp:simplePos x="0" y="0"/>
                <wp:positionH relativeFrom="column">
                  <wp:posOffset>-483408</wp:posOffset>
                </wp:positionH>
                <wp:positionV relativeFrom="paragraph">
                  <wp:posOffset>-238793</wp:posOffset>
                </wp:positionV>
                <wp:extent cx="6738604" cy="5975633"/>
                <wp:effectExtent l="0" t="0" r="5715" b="63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8604" cy="597563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95BD5" w14:textId="68341AC2" w:rsidR="003F7CDF" w:rsidRDefault="003F7CDF" w:rsidP="009C4DFF">
                            <w:pPr>
                              <w:rPr>
                                <w:b/>
                                <w:color w:val="465E9C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465E9C" w:themeColor="text2"/>
                                <w:sz w:val="20"/>
                                <w:szCs w:val="20"/>
                              </w:rPr>
                              <w:t>Non-</w:t>
                            </w:r>
                            <w:r w:rsidR="00157368">
                              <w:rPr>
                                <w:b/>
                                <w:color w:val="465E9C" w:themeColor="text2"/>
                                <w:sz w:val="20"/>
                                <w:szCs w:val="20"/>
                              </w:rPr>
                              <w:t>Foodborne outbreaks</w:t>
                            </w:r>
                          </w:p>
                          <w:p w14:paraId="31F363A3" w14:textId="1E1F6DED" w:rsidR="00157368" w:rsidRPr="00010A3C" w:rsidRDefault="002B1303" w:rsidP="009C4D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0A3C">
                              <w:rPr>
                                <w:sz w:val="20"/>
                                <w:szCs w:val="20"/>
                              </w:rPr>
                              <w:t>In the 4Q20, there were 189 non-foodborne outbreaks compared to the previous five</w:t>
                            </w:r>
                            <w:r w:rsidR="00010A3C" w:rsidRPr="00010A3C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010A3C">
                              <w:rPr>
                                <w:sz w:val="20"/>
                                <w:szCs w:val="20"/>
                              </w:rPr>
                              <w:t xml:space="preserve">year average of 52 outbreaks. The 189 outbreaks included 180 probable person-to-person outbreaks and nine outbreaks were the transmission was unknown.  </w:t>
                            </w:r>
                            <w:r w:rsidR="00FC5588" w:rsidRPr="00010A3C">
                              <w:rPr>
                                <w:sz w:val="20"/>
                                <w:szCs w:val="20"/>
                              </w:rPr>
                              <w:t xml:space="preserve">Most (80%) of these outbreaks were in child care facilities. Only a small proportion (7%) of facilities had stool specimen </w:t>
                            </w:r>
                            <w:r w:rsidR="005F0102" w:rsidRPr="00010A3C">
                              <w:rPr>
                                <w:sz w:val="20"/>
                                <w:szCs w:val="20"/>
                              </w:rPr>
                              <w:t>tested</w:t>
                            </w:r>
                            <w:r w:rsidR="00FC5588" w:rsidRPr="00010A3C">
                              <w:rPr>
                                <w:sz w:val="20"/>
                                <w:szCs w:val="20"/>
                              </w:rPr>
                              <w:t xml:space="preserve"> and when these specimens were positive for a pathogen, the most common (5/6, 83%) result was norovirus. The WA public health reference laboratory-PathWest report</w:t>
                            </w:r>
                            <w:r w:rsidR="00010A3C" w:rsidRPr="00010A3C">
                              <w:rPr>
                                <w:sz w:val="20"/>
                                <w:szCs w:val="20"/>
                              </w:rPr>
                              <w:t>ed</w:t>
                            </w:r>
                            <w:r w:rsidR="00FC5588" w:rsidRPr="00010A3C">
                              <w:rPr>
                                <w:sz w:val="20"/>
                                <w:szCs w:val="20"/>
                              </w:rPr>
                              <w:t xml:space="preserve"> that </w:t>
                            </w:r>
                            <w:r w:rsidR="005F0102" w:rsidRPr="00010A3C">
                              <w:rPr>
                                <w:sz w:val="20"/>
                                <w:szCs w:val="20"/>
                              </w:rPr>
                              <w:t xml:space="preserve">a “new” norovirus strain was circulating in the WA community at this time. </w:t>
                            </w:r>
                            <w:r w:rsidR="00FC5588" w:rsidRPr="00010A3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77A417FF" w14:textId="6A34C741" w:rsidR="009C4DFF" w:rsidRPr="00010A3C" w:rsidRDefault="00D03951" w:rsidP="009C4DFF">
                            <w:pPr>
                              <w:rPr>
                                <w:b/>
                                <w:i/>
                                <w:color w:val="465E9C" w:themeColor="text2"/>
                                <w:sz w:val="20"/>
                                <w:szCs w:val="20"/>
                              </w:rPr>
                            </w:pPr>
                            <w:r w:rsidRPr="00010A3C">
                              <w:rPr>
                                <w:b/>
                                <w:i/>
                                <w:color w:val="465E9C" w:themeColor="text2"/>
                                <w:sz w:val="20"/>
                                <w:szCs w:val="20"/>
                              </w:rPr>
                              <w:t>Listeria</w:t>
                            </w:r>
                          </w:p>
                          <w:p w14:paraId="583E3BE9" w14:textId="1D1BD390" w:rsidR="003C1946" w:rsidRPr="00010A3C" w:rsidRDefault="00BA1167" w:rsidP="008975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0A3C">
                              <w:rPr>
                                <w:sz w:val="20"/>
                                <w:szCs w:val="20"/>
                              </w:rPr>
                              <w:t>Two</w:t>
                            </w:r>
                            <w:r w:rsidR="00F770DD" w:rsidRPr="00010A3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10A3C">
                              <w:rPr>
                                <w:i/>
                                <w:sz w:val="20"/>
                                <w:szCs w:val="20"/>
                              </w:rPr>
                              <w:t>L</w:t>
                            </w:r>
                            <w:r w:rsidR="00F770DD" w:rsidRPr="00010A3C">
                              <w:rPr>
                                <w:i/>
                                <w:sz w:val="20"/>
                                <w:szCs w:val="20"/>
                              </w:rPr>
                              <w:t>isteria</w:t>
                            </w:r>
                            <w:r w:rsidR="00F770DD" w:rsidRPr="00010A3C">
                              <w:rPr>
                                <w:sz w:val="20"/>
                                <w:szCs w:val="20"/>
                              </w:rPr>
                              <w:t xml:space="preserve"> cases were notified in </w:t>
                            </w:r>
                            <w:r w:rsidRPr="00010A3C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F770DD" w:rsidRPr="00010A3C">
                              <w:rPr>
                                <w:sz w:val="20"/>
                                <w:szCs w:val="20"/>
                              </w:rPr>
                              <w:t>Q20</w:t>
                            </w:r>
                            <w:r w:rsidR="003D2322" w:rsidRPr="00010A3C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010A3C">
                              <w:rPr>
                                <w:sz w:val="20"/>
                                <w:szCs w:val="20"/>
                              </w:rPr>
                              <w:t xml:space="preserve">both </w:t>
                            </w:r>
                            <w:r w:rsidR="003D2322" w:rsidRPr="00010A3C">
                              <w:rPr>
                                <w:sz w:val="20"/>
                                <w:szCs w:val="20"/>
                              </w:rPr>
                              <w:t xml:space="preserve">non-perinatal cases </w:t>
                            </w:r>
                            <w:r w:rsidRPr="00010A3C">
                              <w:rPr>
                                <w:sz w:val="20"/>
                                <w:szCs w:val="20"/>
                              </w:rPr>
                              <w:t>including a 76</w:t>
                            </w:r>
                            <w:r w:rsidR="003D2322" w:rsidRPr="00010A3C">
                              <w:rPr>
                                <w:sz w:val="20"/>
                                <w:szCs w:val="20"/>
                              </w:rPr>
                              <w:t xml:space="preserve">-year-old male </w:t>
                            </w:r>
                            <w:r w:rsidRPr="00010A3C">
                              <w:rPr>
                                <w:sz w:val="20"/>
                                <w:szCs w:val="20"/>
                              </w:rPr>
                              <w:t xml:space="preserve">who was diagnosed with meningitis and co-morbidities included type 2 diabetes and skin cancer. Partial food history </w:t>
                            </w:r>
                            <w:proofErr w:type="gramStart"/>
                            <w:r w:rsidRPr="00010A3C">
                              <w:rPr>
                                <w:sz w:val="20"/>
                                <w:szCs w:val="20"/>
                              </w:rPr>
                              <w:t>obtained</w:t>
                            </w:r>
                            <w:proofErr w:type="gramEnd"/>
                            <w:r w:rsidRPr="00010A3C">
                              <w:rPr>
                                <w:sz w:val="20"/>
                                <w:szCs w:val="20"/>
                              </w:rPr>
                              <w:t xml:space="preserve"> and no high-risk foods identified. The other case was a</w:t>
                            </w:r>
                            <w:r w:rsidR="003D2322" w:rsidRPr="00010A3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10A3C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3D2322" w:rsidRPr="00010A3C">
                              <w:rPr>
                                <w:sz w:val="20"/>
                                <w:szCs w:val="20"/>
                              </w:rPr>
                              <w:t xml:space="preserve">2-year-old male </w:t>
                            </w:r>
                            <w:r w:rsidRPr="00010A3C">
                              <w:rPr>
                                <w:sz w:val="20"/>
                                <w:szCs w:val="20"/>
                              </w:rPr>
                              <w:t xml:space="preserve">who was diagnosed with septicaemia and whose death was linked to their </w:t>
                            </w:r>
                            <w:r w:rsidRPr="00010A3C">
                              <w:rPr>
                                <w:i/>
                                <w:sz w:val="20"/>
                                <w:szCs w:val="20"/>
                              </w:rPr>
                              <w:t>Listeria</w:t>
                            </w:r>
                            <w:r w:rsidRPr="00010A3C">
                              <w:rPr>
                                <w:sz w:val="20"/>
                                <w:szCs w:val="20"/>
                              </w:rPr>
                              <w:t xml:space="preserve"> illness. Co-morbidities included hypertension, peptic ulcer and heart disease.</w:t>
                            </w:r>
                            <w:r w:rsidR="003D2322" w:rsidRPr="00010A3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10A3C">
                              <w:rPr>
                                <w:sz w:val="20"/>
                                <w:szCs w:val="20"/>
                              </w:rPr>
                              <w:t xml:space="preserve">Food eaten during incubation period included </w:t>
                            </w:r>
                            <w:proofErr w:type="gramStart"/>
                            <w:r w:rsidRPr="00010A3C">
                              <w:rPr>
                                <w:sz w:val="20"/>
                                <w:szCs w:val="20"/>
                              </w:rPr>
                              <w:t>a number of</w:t>
                            </w:r>
                            <w:proofErr w:type="gramEnd"/>
                            <w:r w:rsidR="00F056D0" w:rsidRPr="00010A3C">
                              <w:rPr>
                                <w:sz w:val="20"/>
                                <w:szCs w:val="20"/>
                              </w:rPr>
                              <w:t xml:space="preserve"> high-risk</w:t>
                            </w:r>
                            <w:r w:rsidR="003D2322" w:rsidRPr="00010A3C">
                              <w:rPr>
                                <w:sz w:val="20"/>
                                <w:szCs w:val="20"/>
                              </w:rPr>
                              <w:t xml:space="preserve"> foods. </w:t>
                            </w:r>
                            <w:r w:rsidRPr="00010A3C">
                              <w:rPr>
                                <w:i/>
                                <w:sz w:val="20"/>
                                <w:szCs w:val="20"/>
                              </w:rPr>
                              <w:t>Listeria</w:t>
                            </w:r>
                            <w:r w:rsidRPr="00010A3C">
                              <w:rPr>
                                <w:sz w:val="20"/>
                                <w:szCs w:val="20"/>
                              </w:rPr>
                              <w:t xml:space="preserve"> strains of cases were typed and considered </w:t>
                            </w:r>
                            <w:r w:rsidR="003D2322" w:rsidRPr="00010A3C">
                              <w:rPr>
                                <w:sz w:val="20"/>
                                <w:szCs w:val="20"/>
                              </w:rPr>
                              <w:t xml:space="preserve">unique.  </w:t>
                            </w:r>
                          </w:p>
                          <w:p w14:paraId="25FCCD11" w14:textId="77777777" w:rsidR="00E26D2C" w:rsidRPr="00010A3C" w:rsidRDefault="00E26D2C" w:rsidP="005D47E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0A3C">
                              <w:rPr>
                                <w:b/>
                                <w:color w:val="465E9C" w:themeColor="text2"/>
                                <w:sz w:val="20"/>
                                <w:szCs w:val="20"/>
                              </w:rPr>
                              <w:t xml:space="preserve">Shiga toxin producing </w:t>
                            </w:r>
                            <w:r w:rsidRPr="00010A3C">
                              <w:rPr>
                                <w:b/>
                                <w:i/>
                                <w:color w:val="465E9C" w:themeColor="text2"/>
                                <w:sz w:val="20"/>
                                <w:szCs w:val="20"/>
                              </w:rPr>
                              <w:t xml:space="preserve">E. coli </w:t>
                            </w:r>
                            <w:r w:rsidRPr="00010A3C">
                              <w:rPr>
                                <w:b/>
                                <w:color w:val="465E9C" w:themeColor="text2"/>
                                <w:sz w:val="20"/>
                                <w:szCs w:val="20"/>
                              </w:rPr>
                              <w:t>(STEC)</w:t>
                            </w:r>
                          </w:p>
                          <w:p w14:paraId="6E53C324" w14:textId="440BA8FD" w:rsidR="0066016D" w:rsidRPr="00010A3C" w:rsidRDefault="00875A90" w:rsidP="005D47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0A3C">
                              <w:rPr>
                                <w:sz w:val="20"/>
                                <w:szCs w:val="20"/>
                              </w:rPr>
                              <w:t>Six</w:t>
                            </w:r>
                            <w:r w:rsidR="00DF58A4" w:rsidRPr="00010A3C">
                              <w:rPr>
                                <w:sz w:val="20"/>
                                <w:szCs w:val="20"/>
                              </w:rPr>
                              <w:t xml:space="preserve"> of the </w:t>
                            </w:r>
                            <w:r w:rsidRPr="00010A3C"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  <w:r w:rsidR="005D47ED" w:rsidRPr="00010A3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76E0B">
                              <w:rPr>
                                <w:sz w:val="20"/>
                                <w:szCs w:val="20"/>
                              </w:rPr>
                              <w:t xml:space="preserve">STEC </w:t>
                            </w:r>
                            <w:r w:rsidR="00C95233" w:rsidRPr="00010A3C">
                              <w:rPr>
                                <w:sz w:val="20"/>
                                <w:szCs w:val="20"/>
                              </w:rPr>
                              <w:t>notifications were culture</w:t>
                            </w:r>
                            <w:r w:rsidR="005D47ED" w:rsidRPr="00010A3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0697" w:rsidRPr="00010A3C">
                              <w:rPr>
                                <w:sz w:val="20"/>
                                <w:szCs w:val="20"/>
                              </w:rPr>
                              <w:t>positive</w:t>
                            </w:r>
                            <w:r w:rsidR="005D47ED" w:rsidRPr="00010A3C">
                              <w:rPr>
                                <w:sz w:val="20"/>
                                <w:szCs w:val="20"/>
                              </w:rPr>
                              <w:t>, the mos</w:t>
                            </w:r>
                            <w:r w:rsidR="00B90697" w:rsidRPr="00010A3C">
                              <w:rPr>
                                <w:sz w:val="20"/>
                                <w:szCs w:val="20"/>
                              </w:rPr>
                              <w:t>t common serotype</w:t>
                            </w:r>
                            <w:r w:rsidR="00B857EA" w:rsidRPr="00010A3C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B04133" w:rsidRPr="00010A3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044C2" w:rsidRPr="00010A3C"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  <w:r w:rsidR="00B857EA" w:rsidRPr="00010A3C">
                              <w:rPr>
                                <w:sz w:val="20"/>
                                <w:szCs w:val="20"/>
                              </w:rPr>
                              <w:t>ere</w:t>
                            </w:r>
                            <w:r w:rsidR="00B044C2" w:rsidRPr="00010A3C">
                              <w:rPr>
                                <w:sz w:val="20"/>
                                <w:szCs w:val="20"/>
                              </w:rPr>
                              <w:t xml:space="preserve"> O</w:t>
                            </w:r>
                            <w:r w:rsidR="00DF58A4" w:rsidRPr="00010A3C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010A3C">
                              <w:rPr>
                                <w:sz w:val="20"/>
                                <w:szCs w:val="20"/>
                              </w:rPr>
                              <w:t>28</w:t>
                            </w:r>
                            <w:r w:rsidR="00D92EE3" w:rsidRPr="00010A3C">
                              <w:rPr>
                                <w:sz w:val="20"/>
                                <w:szCs w:val="20"/>
                              </w:rPr>
                              <w:t>:H</w:t>
                            </w:r>
                            <w:r w:rsidRPr="00010A3C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760107" w:rsidRPr="00010A3C">
                              <w:rPr>
                                <w:sz w:val="20"/>
                                <w:szCs w:val="20"/>
                              </w:rPr>
                              <w:t xml:space="preserve"> (n=</w:t>
                            </w:r>
                            <w:r w:rsidRPr="00010A3C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B04133" w:rsidRPr="00010A3C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5D47ED" w:rsidRPr="00010A3C">
                              <w:rPr>
                                <w:sz w:val="20"/>
                                <w:szCs w:val="20"/>
                              </w:rPr>
                              <w:t>. No point</w:t>
                            </w:r>
                            <w:r w:rsidR="00DF58A4" w:rsidRPr="00010A3C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5D47ED" w:rsidRPr="00010A3C">
                              <w:rPr>
                                <w:sz w:val="20"/>
                                <w:szCs w:val="20"/>
                              </w:rPr>
                              <w:t>source outbreaks were identified</w:t>
                            </w:r>
                            <w:r w:rsidR="00D90AC2" w:rsidRPr="00010A3C">
                              <w:rPr>
                                <w:sz w:val="20"/>
                                <w:szCs w:val="20"/>
                              </w:rPr>
                              <w:t xml:space="preserve"> in </w:t>
                            </w:r>
                            <w:r w:rsidRPr="00010A3C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D90AC2" w:rsidRPr="00010A3C">
                              <w:rPr>
                                <w:sz w:val="20"/>
                                <w:szCs w:val="20"/>
                              </w:rPr>
                              <w:t>Q</w:t>
                            </w:r>
                            <w:r w:rsidR="009834E4" w:rsidRPr="00010A3C"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="005D47ED" w:rsidRPr="00010A3C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784309" w:rsidRPr="00010A3C">
                              <w:rPr>
                                <w:sz w:val="20"/>
                                <w:szCs w:val="20"/>
                              </w:rPr>
                              <w:t xml:space="preserve">Some of the </w:t>
                            </w:r>
                            <w:r w:rsidR="005D47ED" w:rsidRPr="00010A3C">
                              <w:rPr>
                                <w:sz w:val="20"/>
                                <w:szCs w:val="20"/>
                              </w:rPr>
                              <w:t xml:space="preserve">increase is likely due </w:t>
                            </w:r>
                            <w:r w:rsidR="000102D1" w:rsidRPr="00010A3C">
                              <w:rPr>
                                <w:sz w:val="20"/>
                                <w:szCs w:val="20"/>
                              </w:rPr>
                              <w:t>to</w:t>
                            </w:r>
                            <w:r w:rsidR="005D47ED" w:rsidRPr="00010A3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0697" w:rsidRPr="00010A3C">
                              <w:rPr>
                                <w:sz w:val="20"/>
                                <w:szCs w:val="20"/>
                              </w:rPr>
                              <w:t xml:space="preserve">PCR </w:t>
                            </w:r>
                            <w:r w:rsidR="005D47ED" w:rsidRPr="00010A3C">
                              <w:rPr>
                                <w:sz w:val="20"/>
                                <w:szCs w:val="20"/>
                              </w:rPr>
                              <w:t xml:space="preserve">testing </w:t>
                            </w:r>
                            <w:r w:rsidR="009834E4" w:rsidRPr="00010A3C">
                              <w:rPr>
                                <w:sz w:val="20"/>
                                <w:szCs w:val="20"/>
                              </w:rPr>
                              <w:t xml:space="preserve">of all faecal specimens </w:t>
                            </w:r>
                            <w:r w:rsidR="005D47ED" w:rsidRPr="00010A3C">
                              <w:rPr>
                                <w:sz w:val="20"/>
                                <w:szCs w:val="20"/>
                              </w:rPr>
                              <w:t xml:space="preserve">by one private </w:t>
                            </w:r>
                            <w:r w:rsidR="00B90697" w:rsidRPr="00010A3C">
                              <w:rPr>
                                <w:sz w:val="20"/>
                                <w:szCs w:val="20"/>
                              </w:rPr>
                              <w:t>laboratory</w:t>
                            </w:r>
                            <w:r w:rsidR="006414C7" w:rsidRPr="00010A3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1656" w:rsidRPr="00010A3C">
                              <w:rPr>
                                <w:sz w:val="20"/>
                                <w:szCs w:val="20"/>
                              </w:rPr>
                              <w:t>since</w:t>
                            </w:r>
                            <w:r w:rsidR="00784309" w:rsidRPr="00010A3C">
                              <w:rPr>
                                <w:sz w:val="20"/>
                                <w:szCs w:val="20"/>
                              </w:rPr>
                              <w:t xml:space="preserve"> the fourth quarter</w:t>
                            </w:r>
                            <w:r w:rsidR="006414C7" w:rsidRPr="00010A3C">
                              <w:rPr>
                                <w:sz w:val="20"/>
                                <w:szCs w:val="20"/>
                              </w:rPr>
                              <w:t xml:space="preserve"> of</w:t>
                            </w:r>
                            <w:r w:rsidR="00784309" w:rsidRPr="00010A3C">
                              <w:rPr>
                                <w:sz w:val="20"/>
                                <w:szCs w:val="20"/>
                              </w:rPr>
                              <w:t xml:space="preserve"> 2018</w:t>
                            </w:r>
                            <w:r w:rsidR="005D47ED" w:rsidRPr="00010A3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EA13FC2" w14:textId="791A2DEC" w:rsidR="00D03951" w:rsidRPr="00010A3C" w:rsidRDefault="00D03951" w:rsidP="00D0395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0A3C">
                              <w:rPr>
                                <w:b/>
                                <w:color w:val="465E9C" w:themeColor="text2"/>
                                <w:sz w:val="20"/>
                                <w:szCs w:val="20"/>
                              </w:rPr>
                              <w:t>M</w:t>
                            </w:r>
                            <w:r w:rsidR="00F056D0" w:rsidRPr="00010A3C">
                              <w:rPr>
                                <w:b/>
                                <w:color w:val="465E9C" w:themeColor="text2"/>
                                <w:sz w:val="20"/>
                                <w:szCs w:val="20"/>
                              </w:rPr>
                              <w:t>ulti-drug resistant</w:t>
                            </w:r>
                            <w:r w:rsidRPr="00010A3C">
                              <w:rPr>
                                <w:b/>
                                <w:color w:val="465E9C" w:themeColor="text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10A3C">
                              <w:rPr>
                                <w:b/>
                                <w:i/>
                                <w:color w:val="465E9C" w:themeColor="text2"/>
                                <w:sz w:val="20"/>
                                <w:szCs w:val="20"/>
                              </w:rPr>
                              <w:t>Shigella</w:t>
                            </w:r>
                          </w:p>
                          <w:p w14:paraId="1E721E3D" w14:textId="4D5E1656" w:rsidR="00ED02A8" w:rsidRPr="00010A3C" w:rsidRDefault="00875A90" w:rsidP="005D47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0A3C">
                              <w:rPr>
                                <w:sz w:val="20"/>
                                <w:szCs w:val="20"/>
                              </w:rPr>
                              <w:t>All nine</w:t>
                            </w:r>
                            <w:r w:rsidR="00F056D0" w:rsidRPr="00010A3C">
                              <w:rPr>
                                <w:sz w:val="20"/>
                                <w:szCs w:val="20"/>
                              </w:rPr>
                              <w:t xml:space="preserve"> notifications of </w:t>
                            </w:r>
                            <w:r w:rsidR="00F056D0" w:rsidRPr="00010A3C">
                              <w:rPr>
                                <w:i/>
                                <w:sz w:val="20"/>
                                <w:szCs w:val="20"/>
                              </w:rPr>
                              <w:t xml:space="preserve">Shigella </w:t>
                            </w:r>
                            <w:proofErr w:type="spellStart"/>
                            <w:r w:rsidR="00F056D0" w:rsidRPr="00010A3C">
                              <w:rPr>
                                <w:i/>
                                <w:sz w:val="20"/>
                                <w:szCs w:val="20"/>
                              </w:rPr>
                              <w:t>sonnei</w:t>
                            </w:r>
                            <w:proofErr w:type="spellEnd"/>
                            <w:r w:rsidR="00F056D0" w:rsidRPr="00010A3C">
                              <w:rPr>
                                <w:sz w:val="20"/>
                                <w:szCs w:val="20"/>
                              </w:rPr>
                              <w:t xml:space="preserve"> Biotype G</w:t>
                            </w:r>
                            <w:r w:rsidR="00E15960" w:rsidRPr="00010A3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10A3C">
                              <w:rPr>
                                <w:sz w:val="20"/>
                                <w:szCs w:val="20"/>
                              </w:rPr>
                              <w:t xml:space="preserve">reported </w:t>
                            </w:r>
                            <w:r w:rsidR="00E15960" w:rsidRPr="00010A3C">
                              <w:rPr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010A3C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E15960" w:rsidRPr="00010A3C">
                              <w:rPr>
                                <w:sz w:val="20"/>
                                <w:szCs w:val="20"/>
                              </w:rPr>
                              <w:t>Q20</w:t>
                            </w:r>
                            <w:r w:rsidRPr="00010A3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056D0" w:rsidRPr="00010A3C">
                              <w:rPr>
                                <w:sz w:val="20"/>
                                <w:szCs w:val="20"/>
                              </w:rPr>
                              <w:t xml:space="preserve">were alerted as multi-drug resistant. </w:t>
                            </w:r>
                            <w:r w:rsidRPr="00010A3C">
                              <w:rPr>
                                <w:sz w:val="20"/>
                                <w:szCs w:val="20"/>
                              </w:rPr>
                              <w:t>All cases</w:t>
                            </w:r>
                            <w:r w:rsidR="00E15960" w:rsidRPr="00010A3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056D0" w:rsidRPr="00010A3C">
                              <w:rPr>
                                <w:sz w:val="20"/>
                                <w:szCs w:val="20"/>
                              </w:rPr>
                              <w:t xml:space="preserve">were men </w:t>
                            </w:r>
                            <w:r w:rsidR="009547C7" w:rsidRPr="00010A3C">
                              <w:rPr>
                                <w:sz w:val="20"/>
                                <w:szCs w:val="20"/>
                              </w:rPr>
                              <w:t xml:space="preserve">in the Perth metro area thought to have acquired </w:t>
                            </w:r>
                            <w:r w:rsidR="00E76E0B">
                              <w:rPr>
                                <w:sz w:val="20"/>
                                <w:szCs w:val="20"/>
                              </w:rPr>
                              <w:t xml:space="preserve">their </w:t>
                            </w:r>
                            <w:r w:rsidR="009547C7" w:rsidRPr="00010A3C">
                              <w:rPr>
                                <w:sz w:val="20"/>
                                <w:szCs w:val="20"/>
                              </w:rPr>
                              <w:t>infection through male to male sexual contact</w:t>
                            </w:r>
                            <w:r w:rsidR="00F056D0" w:rsidRPr="00010A3C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1AFEBBD7" w14:textId="73D254A5" w:rsidR="00ED02A8" w:rsidRPr="00010A3C" w:rsidRDefault="00875A90" w:rsidP="005D47ED">
                            <w:pPr>
                              <w:rPr>
                                <w:b/>
                                <w:color w:val="465E9C" w:themeColor="text2"/>
                                <w:sz w:val="20"/>
                                <w:szCs w:val="20"/>
                              </w:rPr>
                            </w:pPr>
                            <w:r w:rsidRPr="00010A3C">
                              <w:rPr>
                                <w:b/>
                                <w:color w:val="465E9C" w:themeColor="text2"/>
                                <w:sz w:val="20"/>
                                <w:szCs w:val="20"/>
                              </w:rPr>
                              <w:t>Typhoid</w:t>
                            </w:r>
                          </w:p>
                          <w:p w14:paraId="6BD3C3DB" w14:textId="77777777" w:rsidR="00875A90" w:rsidRPr="00010A3C" w:rsidRDefault="00875A90" w:rsidP="00875A9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10A3C">
                              <w:rPr>
                                <w:sz w:val="20"/>
                                <w:szCs w:val="20"/>
                              </w:rPr>
                              <w:t xml:space="preserve">There were four cases of typhoid reported in the 4Q20. </w:t>
                            </w:r>
                          </w:p>
                          <w:p w14:paraId="6706305B" w14:textId="7CC74B62" w:rsidR="00875A90" w:rsidRPr="00010A3C" w:rsidRDefault="00875A90" w:rsidP="00875A9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10A3C">
                              <w:rPr>
                                <w:sz w:val="20"/>
                                <w:szCs w:val="20"/>
                              </w:rPr>
                              <w:t xml:space="preserve">Two of these cases were a mother/child pair. The child was a </w:t>
                            </w:r>
                            <w:proofErr w:type="gramStart"/>
                            <w:r w:rsidRPr="00010A3C">
                              <w:rPr>
                                <w:sz w:val="20"/>
                                <w:szCs w:val="20"/>
                              </w:rPr>
                              <w:t>2 year old</w:t>
                            </w:r>
                            <w:proofErr w:type="gramEnd"/>
                            <w:r w:rsidRPr="00010A3C">
                              <w:rPr>
                                <w:sz w:val="20"/>
                                <w:szCs w:val="20"/>
                              </w:rPr>
                              <w:t xml:space="preserve"> male who was tested as they had diarrhoea and fever, with onset 13/11/2020 and had not travelled overseas prior to illness. The </w:t>
                            </w:r>
                            <w:proofErr w:type="gramStart"/>
                            <w:r w:rsidRPr="00010A3C">
                              <w:rPr>
                                <w:sz w:val="20"/>
                                <w:szCs w:val="20"/>
                              </w:rPr>
                              <w:t>34 year old</w:t>
                            </w:r>
                            <w:proofErr w:type="gramEnd"/>
                            <w:r w:rsidRPr="00010A3C">
                              <w:rPr>
                                <w:sz w:val="20"/>
                                <w:szCs w:val="20"/>
                              </w:rPr>
                              <w:t xml:space="preserve"> positive mother was asymptomatic, last travelled to India in November 2019</w:t>
                            </w:r>
                            <w:r w:rsidR="00215670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010A3C">
                              <w:rPr>
                                <w:sz w:val="20"/>
                                <w:szCs w:val="20"/>
                              </w:rPr>
                              <w:t xml:space="preserve"> with relati</w:t>
                            </w:r>
                            <w:r w:rsidR="00215670">
                              <w:rPr>
                                <w:sz w:val="20"/>
                                <w:szCs w:val="20"/>
                              </w:rPr>
                              <w:t>ves</w:t>
                            </w:r>
                            <w:r w:rsidRPr="00010A3C">
                              <w:rPr>
                                <w:sz w:val="20"/>
                                <w:szCs w:val="20"/>
                              </w:rPr>
                              <w:t xml:space="preserve"> from India visiting from Feb-August 2020. It is probable that child acquired their illness from the mother. </w:t>
                            </w:r>
                          </w:p>
                          <w:p w14:paraId="114A9E3C" w14:textId="4E2FAAB1" w:rsidR="00875A90" w:rsidRPr="00010A3C" w:rsidRDefault="00875A90" w:rsidP="00875A9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10A3C">
                              <w:rPr>
                                <w:sz w:val="20"/>
                                <w:szCs w:val="20"/>
                              </w:rPr>
                              <w:t xml:space="preserve">The second pair of cases were a </w:t>
                            </w:r>
                            <w:proofErr w:type="gramStart"/>
                            <w:r w:rsidRPr="00010A3C">
                              <w:rPr>
                                <w:sz w:val="20"/>
                                <w:szCs w:val="20"/>
                              </w:rPr>
                              <w:t>33 year old</w:t>
                            </w:r>
                            <w:proofErr w:type="gramEnd"/>
                            <w:r w:rsidRPr="00010A3C">
                              <w:rPr>
                                <w:sz w:val="20"/>
                                <w:szCs w:val="20"/>
                              </w:rPr>
                              <w:t xml:space="preserve"> female who was tested as </w:t>
                            </w:r>
                            <w:r w:rsidR="00215670">
                              <w:rPr>
                                <w:sz w:val="20"/>
                                <w:szCs w:val="20"/>
                              </w:rPr>
                              <w:t xml:space="preserve">she </w:t>
                            </w:r>
                            <w:r w:rsidRPr="00010A3C">
                              <w:rPr>
                                <w:sz w:val="20"/>
                                <w:szCs w:val="20"/>
                              </w:rPr>
                              <w:t xml:space="preserve">was symptomatic with onset 07/11/2021 and last travel overseas in January 2019. This case was a house-hold contact of her asymptomatic </w:t>
                            </w:r>
                            <w:proofErr w:type="gramStart"/>
                            <w:r w:rsidRPr="00010A3C">
                              <w:rPr>
                                <w:sz w:val="20"/>
                                <w:szCs w:val="20"/>
                              </w:rPr>
                              <w:t>75 year old</w:t>
                            </w:r>
                            <w:proofErr w:type="gramEnd"/>
                            <w:r w:rsidRPr="00010A3C">
                              <w:rPr>
                                <w:sz w:val="20"/>
                                <w:szCs w:val="20"/>
                              </w:rPr>
                              <w:t xml:space="preserve"> mother-in-law, who arrived from India on 16/12/2019. It is probable that the </w:t>
                            </w:r>
                            <w:proofErr w:type="gramStart"/>
                            <w:r w:rsidRPr="00010A3C">
                              <w:rPr>
                                <w:sz w:val="20"/>
                                <w:szCs w:val="20"/>
                              </w:rPr>
                              <w:t>33 year old</w:t>
                            </w:r>
                            <w:proofErr w:type="gramEnd"/>
                            <w:r w:rsidRPr="00010A3C">
                              <w:rPr>
                                <w:sz w:val="20"/>
                                <w:szCs w:val="20"/>
                              </w:rPr>
                              <w:t xml:space="preserve"> acquired their illness from the mother-in-law. </w:t>
                            </w:r>
                          </w:p>
                          <w:p w14:paraId="491E9566" w14:textId="4C3139CB" w:rsidR="00875A90" w:rsidRPr="00010A3C" w:rsidRDefault="00875A90" w:rsidP="00875A9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10A3C">
                              <w:rPr>
                                <w:sz w:val="20"/>
                                <w:szCs w:val="20"/>
                              </w:rPr>
                              <w:t xml:space="preserve"> Whole genome sequences </w:t>
                            </w:r>
                            <w:r w:rsidR="00215670">
                              <w:rPr>
                                <w:sz w:val="20"/>
                                <w:szCs w:val="20"/>
                              </w:rPr>
                              <w:t>was</w:t>
                            </w:r>
                            <w:r w:rsidRPr="00010A3C">
                              <w:rPr>
                                <w:sz w:val="20"/>
                                <w:szCs w:val="20"/>
                              </w:rPr>
                              <w:t xml:space="preserve"> performed on all four strains and the first pair of cases were </w:t>
                            </w:r>
                            <w:r w:rsidR="002B276B" w:rsidRPr="00010A3C">
                              <w:rPr>
                                <w:sz w:val="20"/>
                                <w:szCs w:val="20"/>
                              </w:rPr>
                              <w:t>genetically distinct</w:t>
                            </w:r>
                            <w:r w:rsidRPr="00010A3C">
                              <w:rPr>
                                <w:sz w:val="20"/>
                                <w:szCs w:val="20"/>
                              </w:rPr>
                              <w:t xml:space="preserve"> from the second pair of cases. </w:t>
                            </w:r>
                          </w:p>
                          <w:p w14:paraId="3978EAFE" w14:textId="77777777" w:rsidR="00ED02A8" w:rsidRDefault="00ED02A8" w:rsidP="005D47ED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EDBDB7A" w14:textId="77777777" w:rsidR="00600F2C" w:rsidRDefault="00600F2C" w:rsidP="005D47ED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037FC2EC" w14:textId="77777777" w:rsidR="00600F2C" w:rsidRPr="00627EBE" w:rsidRDefault="00600F2C" w:rsidP="005D47ED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576584EA" w14:textId="77777777" w:rsidR="0064799B" w:rsidRPr="0064799B" w:rsidRDefault="0064799B" w:rsidP="005D47E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DB853" id="_x0000_s1035" type="#_x0000_t202" style="position:absolute;margin-left:-38.05pt;margin-top:-18.8pt;width:530.6pt;height:470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" fillcolor="#d7dded [671]" stroked="f">
                <v:fill opacity="32896f"/>
                <v:textbox>
                  <w:txbxContent>
                    <w:p w14:paraId="46A95BD5" w14:textId="68341AC2" w:rsidR="003F7CDF" w:rsidRDefault="003F7CDF" w:rsidP="009C4DFF">
                      <w:pPr>
                        <w:rPr>
                          <w:b/>
                          <w:color w:val="465E9C" w:themeColor="text2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465E9C" w:themeColor="text2"/>
                          <w:sz w:val="20"/>
                          <w:szCs w:val="20"/>
                        </w:rPr>
                        <w:t>Non-</w:t>
                      </w:r>
                      <w:r w:rsidR="00157368">
                        <w:rPr>
                          <w:b/>
                          <w:color w:val="465E9C" w:themeColor="text2"/>
                          <w:sz w:val="20"/>
                          <w:szCs w:val="20"/>
                        </w:rPr>
                        <w:t>Foodborne outbreaks</w:t>
                      </w:r>
                    </w:p>
                    <w:p w14:paraId="31F363A3" w14:textId="1E1F6DED" w:rsidR="00157368" w:rsidRPr="00010A3C" w:rsidRDefault="002B1303" w:rsidP="009C4DFF">
                      <w:pPr>
                        <w:rPr>
                          <w:sz w:val="20"/>
                          <w:szCs w:val="20"/>
                        </w:rPr>
                      </w:pPr>
                      <w:r w:rsidRPr="00010A3C">
                        <w:rPr>
                          <w:sz w:val="20"/>
                          <w:szCs w:val="20"/>
                        </w:rPr>
                        <w:t>In the 4Q20, there were 189 non-foodborne outbreaks compared to the previous five</w:t>
                      </w:r>
                      <w:r w:rsidR="00010A3C" w:rsidRPr="00010A3C">
                        <w:rPr>
                          <w:sz w:val="20"/>
                          <w:szCs w:val="20"/>
                        </w:rPr>
                        <w:t>-</w:t>
                      </w:r>
                      <w:r w:rsidRPr="00010A3C">
                        <w:rPr>
                          <w:sz w:val="20"/>
                          <w:szCs w:val="20"/>
                        </w:rPr>
                        <w:t xml:space="preserve">year average of 52 outbreaks. The 189 outbreaks included 180 probable person-to-person outbreaks and nine outbreaks were the transmission was unknown.  </w:t>
                      </w:r>
                      <w:r w:rsidR="00FC5588" w:rsidRPr="00010A3C">
                        <w:rPr>
                          <w:sz w:val="20"/>
                          <w:szCs w:val="20"/>
                        </w:rPr>
                        <w:t xml:space="preserve">Most (80%) of these outbreaks were in child care facilities. Only a small proportion (7%) of facilities had stool specimen </w:t>
                      </w:r>
                      <w:r w:rsidR="005F0102" w:rsidRPr="00010A3C">
                        <w:rPr>
                          <w:sz w:val="20"/>
                          <w:szCs w:val="20"/>
                        </w:rPr>
                        <w:t>tested</w:t>
                      </w:r>
                      <w:r w:rsidR="00FC5588" w:rsidRPr="00010A3C">
                        <w:rPr>
                          <w:sz w:val="20"/>
                          <w:szCs w:val="20"/>
                        </w:rPr>
                        <w:t xml:space="preserve"> and when these specimens were positive for a pathogen, the most common (5/6, 83%) result was norovirus. The WA public health reference laboratory-PathWest report</w:t>
                      </w:r>
                      <w:r w:rsidR="00010A3C" w:rsidRPr="00010A3C">
                        <w:rPr>
                          <w:sz w:val="20"/>
                          <w:szCs w:val="20"/>
                        </w:rPr>
                        <w:t>ed</w:t>
                      </w:r>
                      <w:r w:rsidR="00FC5588" w:rsidRPr="00010A3C">
                        <w:rPr>
                          <w:sz w:val="20"/>
                          <w:szCs w:val="20"/>
                        </w:rPr>
                        <w:t xml:space="preserve"> that </w:t>
                      </w:r>
                      <w:r w:rsidR="005F0102" w:rsidRPr="00010A3C">
                        <w:rPr>
                          <w:sz w:val="20"/>
                          <w:szCs w:val="20"/>
                        </w:rPr>
                        <w:t xml:space="preserve">a “new” norovirus strain was circulating in the WA community at this time. </w:t>
                      </w:r>
                      <w:r w:rsidR="00FC5588" w:rsidRPr="00010A3C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14:paraId="77A417FF" w14:textId="6A34C741" w:rsidR="009C4DFF" w:rsidRPr="00010A3C" w:rsidRDefault="00D03951" w:rsidP="009C4DFF">
                      <w:pPr>
                        <w:rPr>
                          <w:b/>
                          <w:i/>
                          <w:color w:val="465E9C" w:themeColor="text2"/>
                          <w:sz w:val="20"/>
                          <w:szCs w:val="20"/>
                        </w:rPr>
                      </w:pPr>
                      <w:r w:rsidRPr="00010A3C">
                        <w:rPr>
                          <w:b/>
                          <w:i/>
                          <w:color w:val="465E9C" w:themeColor="text2"/>
                          <w:sz w:val="20"/>
                          <w:szCs w:val="20"/>
                        </w:rPr>
                        <w:t>Listeria</w:t>
                      </w:r>
                    </w:p>
                    <w:p w14:paraId="583E3BE9" w14:textId="1D1BD390" w:rsidR="003C1946" w:rsidRPr="00010A3C" w:rsidRDefault="00BA1167" w:rsidP="008975CB">
                      <w:pPr>
                        <w:rPr>
                          <w:sz w:val="20"/>
                          <w:szCs w:val="20"/>
                        </w:rPr>
                      </w:pPr>
                      <w:r w:rsidRPr="00010A3C">
                        <w:rPr>
                          <w:sz w:val="20"/>
                          <w:szCs w:val="20"/>
                        </w:rPr>
                        <w:t>Two</w:t>
                      </w:r>
                      <w:r w:rsidR="00F770DD" w:rsidRPr="00010A3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10A3C">
                        <w:rPr>
                          <w:i/>
                          <w:sz w:val="20"/>
                          <w:szCs w:val="20"/>
                        </w:rPr>
                        <w:t>L</w:t>
                      </w:r>
                      <w:r w:rsidR="00F770DD" w:rsidRPr="00010A3C">
                        <w:rPr>
                          <w:i/>
                          <w:sz w:val="20"/>
                          <w:szCs w:val="20"/>
                        </w:rPr>
                        <w:t>isteria</w:t>
                      </w:r>
                      <w:r w:rsidR="00F770DD" w:rsidRPr="00010A3C">
                        <w:rPr>
                          <w:sz w:val="20"/>
                          <w:szCs w:val="20"/>
                        </w:rPr>
                        <w:t xml:space="preserve"> cases were notified in </w:t>
                      </w:r>
                      <w:r w:rsidRPr="00010A3C">
                        <w:rPr>
                          <w:sz w:val="20"/>
                          <w:szCs w:val="20"/>
                        </w:rPr>
                        <w:t>4</w:t>
                      </w:r>
                      <w:r w:rsidR="00F770DD" w:rsidRPr="00010A3C">
                        <w:rPr>
                          <w:sz w:val="20"/>
                          <w:szCs w:val="20"/>
                        </w:rPr>
                        <w:t>Q20</w:t>
                      </w:r>
                      <w:r w:rsidR="003D2322" w:rsidRPr="00010A3C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010A3C">
                        <w:rPr>
                          <w:sz w:val="20"/>
                          <w:szCs w:val="20"/>
                        </w:rPr>
                        <w:t xml:space="preserve">both </w:t>
                      </w:r>
                      <w:r w:rsidR="003D2322" w:rsidRPr="00010A3C">
                        <w:rPr>
                          <w:sz w:val="20"/>
                          <w:szCs w:val="20"/>
                        </w:rPr>
                        <w:t xml:space="preserve">non-perinatal cases </w:t>
                      </w:r>
                      <w:r w:rsidRPr="00010A3C">
                        <w:rPr>
                          <w:sz w:val="20"/>
                          <w:szCs w:val="20"/>
                        </w:rPr>
                        <w:t>including a 76</w:t>
                      </w:r>
                      <w:r w:rsidR="003D2322" w:rsidRPr="00010A3C">
                        <w:rPr>
                          <w:sz w:val="20"/>
                          <w:szCs w:val="20"/>
                        </w:rPr>
                        <w:t xml:space="preserve">-year-old male </w:t>
                      </w:r>
                      <w:r w:rsidRPr="00010A3C">
                        <w:rPr>
                          <w:sz w:val="20"/>
                          <w:szCs w:val="20"/>
                        </w:rPr>
                        <w:t xml:space="preserve">who was diagnosed with meningitis and co-morbidities included type 2 diabetes and skin cancer. Partial food history </w:t>
                      </w:r>
                      <w:proofErr w:type="gramStart"/>
                      <w:r w:rsidRPr="00010A3C">
                        <w:rPr>
                          <w:sz w:val="20"/>
                          <w:szCs w:val="20"/>
                        </w:rPr>
                        <w:t>obtained</w:t>
                      </w:r>
                      <w:proofErr w:type="gramEnd"/>
                      <w:r w:rsidRPr="00010A3C">
                        <w:rPr>
                          <w:sz w:val="20"/>
                          <w:szCs w:val="20"/>
                        </w:rPr>
                        <w:t xml:space="preserve"> and no high-risk foods identified. The other case was a</w:t>
                      </w:r>
                      <w:r w:rsidR="003D2322" w:rsidRPr="00010A3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10A3C">
                        <w:rPr>
                          <w:sz w:val="20"/>
                          <w:szCs w:val="20"/>
                        </w:rPr>
                        <w:t>7</w:t>
                      </w:r>
                      <w:r w:rsidR="003D2322" w:rsidRPr="00010A3C">
                        <w:rPr>
                          <w:sz w:val="20"/>
                          <w:szCs w:val="20"/>
                        </w:rPr>
                        <w:t xml:space="preserve">2-year-old male </w:t>
                      </w:r>
                      <w:r w:rsidRPr="00010A3C">
                        <w:rPr>
                          <w:sz w:val="20"/>
                          <w:szCs w:val="20"/>
                        </w:rPr>
                        <w:t xml:space="preserve">who was diagnosed with septicaemia and whose death was linked to their </w:t>
                      </w:r>
                      <w:r w:rsidRPr="00010A3C">
                        <w:rPr>
                          <w:i/>
                          <w:sz w:val="20"/>
                          <w:szCs w:val="20"/>
                        </w:rPr>
                        <w:t>Listeria</w:t>
                      </w:r>
                      <w:r w:rsidRPr="00010A3C">
                        <w:rPr>
                          <w:sz w:val="20"/>
                          <w:szCs w:val="20"/>
                        </w:rPr>
                        <w:t xml:space="preserve"> illness. Co-morbidities included hypertension, peptic ulcer and heart disease.</w:t>
                      </w:r>
                      <w:r w:rsidR="003D2322" w:rsidRPr="00010A3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10A3C">
                        <w:rPr>
                          <w:sz w:val="20"/>
                          <w:szCs w:val="20"/>
                        </w:rPr>
                        <w:t xml:space="preserve">Food eaten during incubation period included </w:t>
                      </w:r>
                      <w:proofErr w:type="gramStart"/>
                      <w:r w:rsidRPr="00010A3C">
                        <w:rPr>
                          <w:sz w:val="20"/>
                          <w:szCs w:val="20"/>
                        </w:rPr>
                        <w:t>a number of</w:t>
                      </w:r>
                      <w:proofErr w:type="gramEnd"/>
                      <w:r w:rsidR="00F056D0" w:rsidRPr="00010A3C">
                        <w:rPr>
                          <w:sz w:val="20"/>
                          <w:szCs w:val="20"/>
                        </w:rPr>
                        <w:t xml:space="preserve"> high-risk</w:t>
                      </w:r>
                      <w:r w:rsidR="003D2322" w:rsidRPr="00010A3C">
                        <w:rPr>
                          <w:sz w:val="20"/>
                          <w:szCs w:val="20"/>
                        </w:rPr>
                        <w:t xml:space="preserve"> foods. </w:t>
                      </w:r>
                      <w:r w:rsidRPr="00010A3C">
                        <w:rPr>
                          <w:i/>
                          <w:sz w:val="20"/>
                          <w:szCs w:val="20"/>
                        </w:rPr>
                        <w:t>Listeria</w:t>
                      </w:r>
                      <w:r w:rsidRPr="00010A3C">
                        <w:rPr>
                          <w:sz w:val="20"/>
                          <w:szCs w:val="20"/>
                        </w:rPr>
                        <w:t xml:space="preserve"> strains of cases were typed and considered </w:t>
                      </w:r>
                      <w:r w:rsidR="003D2322" w:rsidRPr="00010A3C">
                        <w:rPr>
                          <w:sz w:val="20"/>
                          <w:szCs w:val="20"/>
                        </w:rPr>
                        <w:t xml:space="preserve">unique.  </w:t>
                      </w:r>
                    </w:p>
                    <w:p w14:paraId="25FCCD11" w14:textId="77777777" w:rsidR="00E26D2C" w:rsidRPr="00010A3C" w:rsidRDefault="00E26D2C" w:rsidP="005D47E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010A3C">
                        <w:rPr>
                          <w:b/>
                          <w:color w:val="465E9C" w:themeColor="text2"/>
                          <w:sz w:val="20"/>
                          <w:szCs w:val="20"/>
                        </w:rPr>
                        <w:t xml:space="preserve">Shiga toxin producing </w:t>
                      </w:r>
                      <w:r w:rsidRPr="00010A3C">
                        <w:rPr>
                          <w:b/>
                          <w:i/>
                          <w:color w:val="465E9C" w:themeColor="text2"/>
                          <w:sz w:val="20"/>
                          <w:szCs w:val="20"/>
                        </w:rPr>
                        <w:t xml:space="preserve">E. coli </w:t>
                      </w:r>
                      <w:r w:rsidRPr="00010A3C">
                        <w:rPr>
                          <w:b/>
                          <w:color w:val="465E9C" w:themeColor="text2"/>
                          <w:sz w:val="20"/>
                          <w:szCs w:val="20"/>
                        </w:rPr>
                        <w:t>(STEC)</w:t>
                      </w:r>
                    </w:p>
                    <w:p w14:paraId="6E53C324" w14:textId="440BA8FD" w:rsidR="0066016D" w:rsidRPr="00010A3C" w:rsidRDefault="00875A90" w:rsidP="005D47ED">
                      <w:pPr>
                        <w:rPr>
                          <w:sz w:val="20"/>
                          <w:szCs w:val="20"/>
                        </w:rPr>
                      </w:pPr>
                      <w:r w:rsidRPr="00010A3C">
                        <w:rPr>
                          <w:sz w:val="20"/>
                          <w:szCs w:val="20"/>
                        </w:rPr>
                        <w:t>Six</w:t>
                      </w:r>
                      <w:r w:rsidR="00DF58A4" w:rsidRPr="00010A3C">
                        <w:rPr>
                          <w:sz w:val="20"/>
                          <w:szCs w:val="20"/>
                        </w:rPr>
                        <w:t xml:space="preserve"> of the </w:t>
                      </w:r>
                      <w:r w:rsidRPr="00010A3C">
                        <w:rPr>
                          <w:sz w:val="20"/>
                          <w:szCs w:val="20"/>
                        </w:rPr>
                        <w:t>17</w:t>
                      </w:r>
                      <w:r w:rsidR="005D47ED" w:rsidRPr="00010A3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76E0B">
                        <w:rPr>
                          <w:sz w:val="20"/>
                          <w:szCs w:val="20"/>
                        </w:rPr>
                        <w:t xml:space="preserve">STEC </w:t>
                      </w:r>
                      <w:r w:rsidR="00C95233" w:rsidRPr="00010A3C">
                        <w:rPr>
                          <w:sz w:val="20"/>
                          <w:szCs w:val="20"/>
                        </w:rPr>
                        <w:t>notifications were culture</w:t>
                      </w:r>
                      <w:r w:rsidR="005D47ED" w:rsidRPr="00010A3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90697" w:rsidRPr="00010A3C">
                        <w:rPr>
                          <w:sz w:val="20"/>
                          <w:szCs w:val="20"/>
                        </w:rPr>
                        <w:t>positive</w:t>
                      </w:r>
                      <w:r w:rsidR="005D47ED" w:rsidRPr="00010A3C">
                        <w:rPr>
                          <w:sz w:val="20"/>
                          <w:szCs w:val="20"/>
                        </w:rPr>
                        <w:t>, the mos</w:t>
                      </w:r>
                      <w:r w:rsidR="00B90697" w:rsidRPr="00010A3C">
                        <w:rPr>
                          <w:sz w:val="20"/>
                          <w:szCs w:val="20"/>
                        </w:rPr>
                        <w:t>t common serotype</w:t>
                      </w:r>
                      <w:r w:rsidR="00B857EA" w:rsidRPr="00010A3C">
                        <w:rPr>
                          <w:sz w:val="20"/>
                          <w:szCs w:val="20"/>
                        </w:rPr>
                        <w:t>s</w:t>
                      </w:r>
                      <w:r w:rsidR="00B04133" w:rsidRPr="00010A3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044C2" w:rsidRPr="00010A3C">
                        <w:rPr>
                          <w:sz w:val="20"/>
                          <w:szCs w:val="20"/>
                        </w:rPr>
                        <w:t>w</w:t>
                      </w:r>
                      <w:r w:rsidR="00B857EA" w:rsidRPr="00010A3C">
                        <w:rPr>
                          <w:sz w:val="20"/>
                          <w:szCs w:val="20"/>
                        </w:rPr>
                        <w:t>ere</w:t>
                      </w:r>
                      <w:r w:rsidR="00B044C2" w:rsidRPr="00010A3C">
                        <w:rPr>
                          <w:sz w:val="20"/>
                          <w:szCs w:val="20"/>
                        </w:rPr>
                        <w:t xml:space="preserve"> O</w:t>
                      </w:r>
                      <w:r w:rsidR="00DF58A4" w:rsidRPr="00010A3C">
                        <w:rPr>
                          <w:sz w:val="20"/>
                          <w:szCs w:val="20"/>
                        </w:rPr>
                        <w:t>1</w:t>
                      </w:r>
                      <w:r w:rsidRPr="00010A3C">
                        <w:rPr>
                          <w:sz w:val="20"/>
                          <w:szCs w:val="20"/>
                        </w:rPr>
                        <w:t>28</w:t>
                      </w:r>
                      <w:r w:rsidR="00D92EE3" w:rsidRPr="00010A3C">
                        <w:rPr>
                          <w:sz w:val="20"/>
                          <w:szCs w:val="20"/>
                        </w:rPr>
                        <w:t>:H</w:t>
                      </w:r>
                      <w:r w:rsidRPr="00010A3C">
                        <w:rPr>
                          <w:sz w:val="20"/>
                          <w:szCs w:val="20"/>
                        </w:rPr>
                        <w:t>2</w:t>
                      </w:r>
                      <w:r w:rsidR="00760107" w:rsidRPr="00010A3C">
                        <w:rPr>
                          <w:sz w:val="20"/>
                          <w:szCs w:val="20"/>
                        </w:rPr>
                        <w:t xml:space="preserve"> (n=</w:t>
                      </w:r>
                      <w:r w:rsidRPr="00010A3C">
                        <w:rPr>
                          <w:sz w:val="20"/>
                          <w:szCs w:val="20"/>
                        </w:rPr>
                        <w:t>2</w:t>
                      </w:r>
                      <w:r w:rsidR="00B04133" w:rsidRPr="00010A3C">
                        <w:rPr>
                          <w:sz w:val="20"/>
                          <w:szCs w:val="20"/>
                        </w:rPr>
                        <w:t>)</w:t>
                      </w:r>
                      <w:r w:rsidR="005D47ED" w:rsidRPr="00010A3C">
                        <w:rPr>
                          <w:sz w:val="20"/>
                          <w:szCs w:val="20"/>
                        </w:rPr>
                        <w:t>. No point</w:t>
                      </w:r>
                      <w:r w:rsidR="00DF58A4" w:rsidRPr="00010A3C">
                        <w:rPr>
                          <w:sz w:val="20"/>
                          <w:szCs w:val="20"/>
                        </w:rPr>
                        <w:t>-</w:t>
                      </w:r>
                      <w:r w:rsidR="005D47ED" w:rsidRPr="00010A3C">
                        <w:rPr>
                          <w:sz w:val="20"/>
                          <w:szCs w:val="20"/>
                        </w:rPr>
                        <w:t>source outbreaks were identified</w:t>
                      </w:r>
                      <w:r w:rsidR="00D90AC2" w:rsidRPr="00010A3C">
                        <w:rPr>
                          <w:sz w:val="20"/>
                          <w:szCs w:val="20"/>
                        </w:rPr>
                        <w:t xml:space="preserve"> in </w:t>
                      </w:r>
                      <w:r w:rsidRPr="00010A3C">
                        <w:rPr>
                          <w:sz w:val="20"/>
                          <w:szCs w:val="20"/>
                        </w:rPr>
                        <w:t>4</w:t>
                      </w:r>
                      <w:r w:rsidR="00D90AC2" w:rsidRPr="00010A3C">
                        <w:rPr>
                          <w:sz w:val="20"/>
                          <w:szCs w:val="20"/>
                        </w:rPr>
                        <w:t>Q</w:t>
                      </w:r>
                      <w:r w:rsidR="009834E4" w:rsidRPr="00010A3C">
                        <w:rPr>
                          <w:sz w:val="20"/>
                          <w:szCs w:val="20"/>
                        </w:rPr>
                        <w:t>20</w:t>
                      </w:r>
                      <w:r w:rsidR="005D47ED" w:rsidRPr="00010A3C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784309" w:rsidRPr="00010A3C">
                        <w:rPr>
                          <w:sz w:val="20"/>
                          <w:szCs w:val="20"/>
                        </w:rPr>
                        <w:t xml:space="preserve">Some of the </w:t>
                      </w:r>
                      <w:r w:rsidR="005D47ED" w:rsidRPr="00010A3C">
                        <w:rPr>
                          <w:sz w:val="20"/>
                          <w:szCs w:val="20"/>
                        </w:rPr>
                        <w:t xml:space="preserve">increase is likely due </w:t>
                      </w:r>
                      <w:r w:rsidR="000102D1" w:rsidRPr="00010A3C">
                        <w:rPr>
                          <w:sz w:val="20"/>
                          <w:szCs w:val="20"/>
                        </w:rPr>
                        <w:t>to</w:t>
                      </w:r>
                      <w:r w:rsidR="005D47ED" w:rsidRPr="00010A3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90697" w:rsidRPr="00010A3C">
                        <w:rPr>
                          <w:sz w:val="20"/>
                          <w:szCs w:val="20"/>
                        </w:rPr>
                        <w:t xml:space="preserve">PCR </w:t>
                      </w:r>
                      <w:r w:rsidR="005D47ED" w:rsidRPr="00010A3C">
                        <w:rPr>
                          <w:sz w:val="20"/>
                          <w:szCs w:val="20"/>
                        </w:rPr>
                        <w:t xml:space="preserve">testing </w:t>
                      </w:r>
                      <w:r w:rsidR="009834E4" w:rsidRPr="00010A3C">
                        <w:rPr>
                          <w:sz w:val="20"/>
                          <w:szCs w:val="20"/>
                        </w:rPr>
                        <w:t xml:space="preserve">of all faecal specimens </w:t>
                      </w:r>
                      <w:r w:rsidR="005D47ED" w:rsidRPr="00010A3C">
                        <w:rPr>
                          <w:sz w:val="20"/>
                          <w:szCs w:val="20"/>
                        </w:rPr>
                        <w:t xml:space="preserve">by one private </w:t>
                      </w:r>
                      <w:r w:rsidR="00B90697" w:rsidRPr="00010A3C">
                        <w:rPr>
                          <w:sz w:val="20"/>
                          <w:szCs w:val="20"/>
                        </w:rPr>
                        <w:t>laboratory</w:t>
                      </w:r>
                      <w:r w:rsidR="006414C7" w:rsidRPr="00010A3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A1656" w:rsidRPr="00010A3C">
                        <w:rPr>
                          <w:sz w:val="20"/>
                          <w:szCs w:val="20"/>
                        </w:rPr>
                        <w:t>since</w:t>
                      </w:r>
                      <w:r w:rsidR="00784309" w:rsidRPr="00010A3C">
                        <w:rPr>
                          <w:sz w:val="20"/>
                          <w:szCs w:val="20"/>
                        </w:rPr>
                        <w:t xml:space="preserve"> the fourth quarter</w:t>
                      </w:r>
                      <w:r w:rsidR="006414C7" w:rsidRPr="00010A3C">
                        <w:rPr>
                          <w:sz w:val="20"/>
                          <w:szCs w:val="20"/>
                        </w:rPr>
                        <w:t xml:space="preserve"> of</w:t>
                      </w:r>
                      <w:r w:rsidR="00784309" w:rsidRPr="00010A3C">
                        <w:rPr>
                          <w:sz w:val="20"/>
                          <w:szCs w:val="20"/>
                        </w:rPr>
                        <w:t xml:space="preserve"> 2018</w:t>
                      </w:r>
                      <w:r w:rsidR="005D47ED" w:rsidRPr="00010A3C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3EA13FC2" w14:textId="791A2DEC" w:rsidR="00D03951" w:rsidRPr="00010A3C" w:rsidRDefault="00D03951" w:rsidP="00D0395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010A3C">
                        <w:rPr>
                          <w:b/>
                          <w:color w:val="465E9C" w:themeColor="text2"/>
                          <w:sz w:val="20"/>
                          <w:szCs w:val="20"/>
                        </w:rPr>
                        <w:t>M</w:t>
                      </w:r>
                      <w:r w:rsidR="00F056D0" w:rsidRPr="00010A3C">
                        <w:rPr>
                          <w:b/>
                          <w:color w:val="465E9C" w:themeColor="text2"/>
                          <w:sz w:val="20"/>
                          <w:szCs w:val="20"/>
                        </w:rPr>
                        <w:t>ulti-drug resistant</w:t>
                      </w:r>
                      <w:r w:rsidRPr="00010A3C">
                        <w:rPr>
                          <w:b/>
                          <w:color w:val="465E9C" w:themeColor="text2"/>
                          <w:sz w:val="20"/>
                          <w:szCs w:val="20"/>
                        </w:rPr>
                        <w:t xml:space="preserve"> </w:t>
                      </w:r>
                      <w:r w:rsidRPr="00010A3C">
                        <w:rPr>
                          <w:b/>
                          <w:i/>
                          <w:color w:val="465E9C" w:themeColor="text2"/>
                          <w:sz w:val="20"/>
                          <w:szCs w:val="20"/>
                        </w:rPr>
                        <w:t>Shigella</w:t>
                      </w:r>
                    </w:p>
                    <w:p w14:paraId="1E721E3D" w14:textId="4D5E1656" w:rsidR="00ED02A8" w:rsidRPr="00010A3C" w:rsidRDefault="00875A90" w:rsidP="005D47ED">
                      <w:pPr>
                        <w:rPr>
                          <w:sz w:val="20"/>
                          <w:szCs w:val="20"/>
                        </w:rPr>
                      </w:pPr>
                      <w:r w:rsidRPr="00010A3C">
                        <w:rPr>
                          <w:sz w:val="20"/>
                          <w:szCs w:val="20"/>
                        </w:rPr>
                        <w:t>All nine</w:t>
                      </w:r>
                      <w:r w:rsidR="00F056D0" w:rsidRPr="00010A3C">
                        <w:rPr>
                          <w:sz w:val="20"/>
                          <w:szCs w:val="20"/>
                        </w:rPr>
                        <w:t xml:space="preserve"> notifications of </w:t>
                      </w:r>
                      <w:r w:rsidR="00F056D0" w:rsidRPr="00010A3C">
                        <w:rPr>
                          <w:i/>
                          <w:sz w:val="20"/>
                          <w:szCs w:val="20"/>
                        </w:rPr>
                        <w:t xml:space="preserve">Shigella </w:t>
                      </w:r>
                      <w:proofErr w:type="spellStart"/>
                      <w:r w:rsidR="00F056D0" w:rsidRPr="00010A3C">
                        <w:rPr>
                          <w:i/>
                          <w:sz w:val="20"/>
                          <w:szCs w:val="20"/>
                        </w:rPr>
                        <w:t>sonnei</w:t>
                      </w:r>
                      <w:proofErr w:type="spellEnd"/>
                      <w:r w:rsidR="00F056D0" w:rsidRPr="00010A3C">
                        <w:rPr>
                          <w:sz w:val="20"/>
                          <w:szCs w:val="20"/>
                        </w:rPr>
                        <w:t xml:space="preserve"> Biotype G</w:t>
                      </w:r>
                      <w:r w:rsidR="00E15960" w:rsidRPr="00010A3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10A3C">
                        <w:rPr>
                          <w:sz w:val="20"/>
                          <w:szCs w:val="20"/>
                        </w:rPr>
                        <w:t xml:space="preserve">reported </w:t>
                      </w:r>
                      <w:r w:rsidR="00E15960" w:rsidRPr="00010A3C">
                        <w:rPr>
                          <w:sz w:val="20"/>
                          <w:szCs w:val="20"/>
                        </w:rPr>
                        <w:t xml:space="preserve">in </w:t>
                      </w:r>
                      <w:r w:rsidRPr="00010A3C">
                        <w:rPr>
                          <w:sz w:val="20"/>
                          <w:szCs w:val="20"/>
                        </w:rPr>
                        <w:t>4</w:t>
                      </w:r>
                      <w:r w:rsidR="00E15960" w:rsidRPr="00010A3C">
                        <w:rPr>
                          <w:sz w:val="20"/>
                          <w:szCs w:val="20"/>
                        </w:rPr>
                        <w:t>Q20</w:t>
                      </w:r>
                      <w:r w:rsidRPr="00010A3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056D0" w:rsidRPr="00010A3C">
                        <w:rPr>
                          <w:sz w:val="20"/>
                          <w:szCs w:val="20"/>
                        </w:rPr>
                        <w:t xml:space="preserve">were alerted as multi-drug resistant. </w:t>
                      </w:r>
                      <w:r w:rsidRPr="00010A3C">
                        <w:rPr>
                          <w:sz w:val="20"/>
                          <w:szCs w:val="20"/>
                        </w:rPr>
                        <w:t>All cases</w:t>
                      </w:r>
                      <w:r w:rsidR="00E15960" w:rsidRPr="00010A3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056D0" w:rsidRPr="00010A3C">
                        <w:rPr>
                          <w:sz w:val="20"/>
                          <w:szCs w:val="20"/>
                        </w:rPr>
                        <w:t xml:space="preserve">were men </w:t>
                      </w:r>
                      <w:r w:rsidR="009547C7" w:rsidRPr="00010A3C">
                        <w:rPr>
                          <w:sz w:val="20"/>
                          <w:szCs w:val="20"/>
                        </w:rPr>
                        <w:t xml:space="preserve">in the Perth metro area thought to have acquired </w:t>
                      </w:r>
                      <w:r w:rsidR="00E76E0B">
                        <w:rPr>
                          <w:sz w:val="20"/>
                          <w:szCs w:val="20"/>
                        </w:rPr>
                        <w:t xml:space="preserve">their </w:t>
                      </w:r>
                      <w:r w:rsidR="009547C7" w:rsidRPr="00010A3C">
                        <w:rPr>
                          <w:sz w:val="20"/>
                          <w:szCs w:val="20"/>
                        </w:rPr>
                        <w:t>infection through male to male sexual contact</w:t>
                      </w:r>
                      <w:r w:rsidR="00F056D0" w:rsidRPr="00010A3C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14:paraId="1AFEBBD7" w14:textId="73D254A5" w:rsidR="00ED02A8" w:rsidRPr="00010A3C" w:rsidRDefault="00875A90" w:rsidP="005D47ED">
                      <w:pPr>
                        <w:rPr>
                          <w:b/>
                          <w:color w:val="465E9C" w:themeColor="text2"/>
                          <w:sz w:val="20"/>
                          <w:szCs w:val="20"/>
                        </w:rPr>
                      </w:pPr>
                      <w:r w:rsidRPr="00010A3C">
                        <w:rPr>
                          <w:b/>
                          <w:color w:val="465E9C" w:themeColor="text2"/>
                          <w:sz w:val="20"/>
                          <w:szCs w:val="20"/>
                        </w:rPr>
                        <w:t>Typhoid</w:t>
                      </w:r>
                    </w:p>
                    <w:p w14:paraId="6BD3C3DB" w14:textId="77777777" w:rsidR="00875A90" w:rsidRPr="00010A3C" w:rsidRDefault="00875A90" w:rsidP="00875A9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10A3C">
                        <w:rPr>
                          <w:sz w:val="20"/>
                          <w:szCs w:val="20"/>
                        </w:rPr>
                        <w:t xml:space="preserve">There were four cases of typhoid reported in the 4Q20. </w:t>
                      </w:r>
                    </w:p>
                    <w:p w14:paraId="6706305B" w14:textId="7CC74B62" w:rsidR="00875A90" w:rsidRPr="00010A3C" w:rsidRDefault="00875A90" w:rsidP="00875A9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010A3C">
                        <w:rPr>
                          <w:sz w:val="20"/>
                          <w:szCs w:val="20"/>
                        </w:rPr>
                        <w:t xml:space="preserve">Two of these cases were a mother/child pair. The child was a </w:t>
                      </w:r>
                      <w:proofErr w:type="gramStart"/>
                      <w:r w:rsidRPr="00010A3C">
                        <w:rPr>
                          <w:sz w:val="20"/>
                          <w:szCs w:val="20"/>
                        </w:rPr>
                        <w:t>2 year old</w:t>
                      </w:r>
                      <w:proofErr w:type="gramEnd"/>
                      <w:r w:rsidRPr="00010A3C">
                        <w:rPr>
                          <w:sz w:val="20"/>
                          <w:szCs w:val="20"/>
                        </w:rPr>
                        <w:t xml:space="preserve"> male who was tested as they had diarrhoea and fever, with onset 13/11/2020 and had not travelled overseas prior to illness. The </w:t>
                      </w:r>
                      <w:proofErr w:type="gramStart"/>
                      <w:r w:rsidRPr="00010A3C">
                        <w:rPr>
                          <w:sz w:val="20"/>
                          <w:szCs w:val="20"/>
                        </w:rPr>
                        <w:t>34 year old</w:t>
                      </w:r>
                      <w:proofErr w:type="gramEnd"/>
                      <w:r w:rsidRPr="00010A3C">
                        <w:rPr>
                          <w:sz w:val="20"/>
                          <w:szCs w:val="20"/>
                        </w:rPr>
                        <w:t xml:space="preserve"> positive mother was asymptomatic, last travelled to India in November 2019</w:t>
                      </w:r>
                      <w:r w:rsidR="00215670">
                        <w:rPr>
                          <w:sz w:val="20"/>
                          <w:szCs w:val="20"/>
                        </w:rPr>
                        <w:t>,</w:t>
                      </w:r>
                      <w:r w:rsidRPr="00010A3C">
                        <w:rPr>
                          <w:sz w:val="20"/>
                          <w:szCs w:val="20"/>
                        </w:rPr>
                        <w:t xml:space="preserve"> with relati</w:t>
                      </w:r>
                      <w:r w:rsidR="00215670">
                        <w:rPr>
                          <w:sz w:val="20"/>
                          <w:szCs w:val="20"/>
                        </w:rPr>
                        <w:t>ves</w:t>
                      </w:r>
                      <w:r w:rsidRPr="00010A3C">
                        <w:rPr>
                          <w:sz w:val="20"/>
                          <w:szCs w:val="20"/>
                        </w:rPr>
                        <w:t xml:space="preserve"> from India visiting from Feb-August 2020. It is probable that child acquired their illness from the mother. </w:t>
                      </w:r>
                    </w:p>
                    <w:p w14:paraId="114A9E3C" w14:textId="4E2FAAB1" w:rsidR="00875A90" w:rsidRPr="00010A3C" w:rsidRDefault="00875A90" w:rsidP="00875A9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010A3C">
                        <w:rPr>
                          <w:sz w:val="20"/>
                          <w:szCs w:val="20"/>
                        </w:rPr>
                        <w:t xml:space="preserve">The second pair of cases were a </w:t>
                      </w:r>
                      <w:proofErr w:type="gramStart"/>
                      <w:r w:rsidRPr="00010A3C">
                        <w:rPr>
                          <w:sz w:val="20"/>
                          <w:szCs w:val="20"/>
                        </w:rPr>
                        <w:t>33 year old</w:t>
                      </w:r>
                      <w:proofErr w:type="gramEnd"/>
                      <w:r w:rsidRPr="00010A3C">
                        <w:rPr>
                          <w:sz w:val="20"/>
                          <w:szCs w:val="20"/>
                        </w:rPr>
                        <w:t xml:space="preserve"> female who was tested as </w:t>
                      </w:r>
                      <w:r w:rsidR="00215670">
                        <w:rPr>
                          <w:sz w:val="20"/>
                          <w:szCs w:val="20"/>
                        </w:rPr>
                        <w:t xml:space="preserve">she </w:t>
                      </w:r>
                      <w:r w:rsidRPr="00010A3C">
                        <w:rPr>
                          <w:sz w:val="20"/>
                          <w:szCs w:val="20"/>
                        </w:rPr>
                        <w:t xml:space="preserve">was symptomatic with onset 07/11/2021 and last travel overseas in January 2019. This case was a house-hold contact of her asymptomatic </w:t>
                      </w:r>
                      <w:proofErr w:type="gramStart"/>
                      <w:r w:rsidRPr="00010A3C">
                        <w:rPr>
                          <w:sz w:val="20"/>
                          <w:szCs w:val="20"/>
                        </w:rPr>
                        <w:t>75 year old</w:t>
                      </w:r>
                      <w:proofErr w:type="gramEnd"/>
                      <w:r w:rsidRPr="00010A3C">
                        <w:rPr>
                          <w:sz w:val="20"/>
                          <w:szCs w:val="20"/>
                        </w:rPr>
                        <w:t xml:space="preserve"> mother-in-law, who arrived from India on 16/12/2019. It is probable that the </w:t>
                      </w:r>
                      <w:proofErr w:type="gramStart"/>
                      <w:r w:rsidRPr="00010A3C">
                        <w:rPr>
                          <w:sz w:val="20"/>
                          <w:szCs w:val="20"/>
                        </w:rPr>
                        <w:t>33 year old</w:t>
                      </w:r>
                      <w:proofErr w:type="gramEnd"/>
                      <w:r w:rsidRPr="00010A3C">
                        <w:rPr>
                          <w:sz w:val="20"/>
                          <w:szCs w:val="20"/>
                        </w:rPr>
                        <w:t xml:space="preserve"> acquired their illness from the mother-in-law. </w:t>
                      </w:r>
                    </w:p>
                    <w:p w14:paraId="491E9566" w14:textId="4C3139CB" w:rsidR="00875A90" w:rsidRPr="00010A3C" w:rsidRDefault="00875A90" w:rsidP="00875A9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010A3C">
                        <w:rPr>
                          <w:sz w:val="20"/>
                          <w:szCs w:val="20"/>
                        </w:rPr>
                        <w:t xml:space="preserve"> Whole genome sequences </w:t>
                      </w:r>
                      <w:r w:rsidR="00215670">
                        <w:rPr>
                          <w:sz w:val="20"/>
                          <w:szCs w:val="20"/>
                        </w:rPr>
                        <w:t>was</w:t>
                      </w:r>
                      <w:r w:rsidRPr="00010A3C">
                        <w:rPr>
                          <w:sz w:val="20"/>
                          <w:szCs w:val="20"/>
                        </w:rPr>
                        <w:t xml:space="preserve"> performed on all four strains and the first pair of cases were </w:t>
                      </w:r>
                      <w:r w:rsidR="002B276B" w:rsidRPr="00010A3C">
                        <w:rPr>
                          <w:sz w:val="20"/>
                          <w:szCs w:val="20"/>
                        </w:rPr>
                        <w:t>genetically distinct</w:t>
                      </w:r>
                      <w:r w:rsidRPr="00010A3C">
                        <w:rPr>
                          <w:sz w:val="20"/>
                          <w:szCs w:val="20"/>
                        </w:rPr>
                        <w:t xml:space="preserve"> from the second pair of cases. </w:t>
                      </w:r>
                    </w:p>
                    <w:p w14:paraId="3978EAFE" w14:textId="77777777" w:rsidR="00ED02A8" w:rsidRDefault="00ED02A8" w:rsidP="005D47ED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14:paraId="6EDBDB7A" w14:textId="77777777" w:rsidR="00600F2C" w:rsidRDefault="00600F2C" w:rsidP="005D47ED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14:paraId="037FC2EC" w14:textId="77777777" w:rsidR="00600F2C" w:rsidRPr="00627EBE" w:rsidRDefault="00600F2C" w:rsidP="005D47ED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14:paraId="576584EA" w14:textId="77777777" w:rsidR="0064799B" w:rsidRPr="0064799B" w:rsidRDefault="0064799B" w:rsidP="005D47ED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24E5D2" w14:textId="6DCCBC36" w:rsidR="00DB0727" w:rsidRPr="00DB0727" w:rsidRDefault="00DB0727" w:rsidP="00DB0727"/>
    <w:p w14:paraId="109187DA" w14:textId="77777777" w:rsidR="00DB0727" w:rsidRPr="00DB0727" w:rsidRDefault="00DB0727" w:rsidP="00DB0727"/>
    <w:p w14:paraId="3A157283" w14:textId="3813DDEF" w:rsidR="00DB0727" w:rsidRDefault="00DB0727" w:rsidP="00DB0727"/>
    <w:p w14:paraId="63D6EDE5" w14:textId="5DF01E1C" w:rsidR="00D173B1" w:rsidRPr="00DB0727" w:rsidRDefault="00D173B1" w:rsidP="00DB0727"/>
    <w:p w14:paraId="47715005" w14:textId="12D7AC2C" w:rsidR="00DB0727" w:rsidRPr="00DB0727" w:rsidRDefault="00DB0727" w:rsidP="00DB0727"/>
    <w:p w14:paraId="6117A3E2" w14:textId="77777777" w:rsidR="00DB0727" w:rsidRPr="00DB0727" w:rsidRDefault="00DB0727" w:rsidP="00DB0727"/>
    <w:p w14:paraId="62F70DA9" w14:textId="739CF9C5" w:rsidR="00DB0727" w:rsidRPr="00DB0727" w:rsidRDefault="00DB0727" w:rsidP="00DB0727"/>
    <w:p w14:paraId="3AD3F033" w14:textId="6B1E3A39" w:rsidR="00DB0727" w:rsidRPr="00DB0727" w:rsidRDefault="00DB0727" w:rsidP="00DB0727"/>
    <w:p w14:paraId="6FB2AC44" w14:textId="77777777" w:rsidR="00DB0727" w:rsidRPr="00DB0727" w:rsidRDefault="00DB0727" w:rsidP="00DB0727"/>
    <w:p w14:paraId="3487A171" w14:textId="77777777" w:rsidR="00DB0727" w:rsidRPr="00DB0727" w:rsidRDefault="00DB0727" w:rsidP="00DB0727"/>
    <w:p w14:paraId="5CFE8EC2" w14:textId="085EC1D4" w:rsidR="005D47ED" w:rsidRPr="00DB0727" w:rsidRDefault="005D47ED" w:rsidP="00DB0727">
      <w:pPr>
        <w:tabs>
          <w:tab w:val="left" w:pos="1753"/>
        </w:tabs>
      </w:pPr>
    </w:p>
    <w:sectPr w:rsidR="005D47ED" w:rsidRPr="00DB07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44F3E" w14:textId="77777777" w:rsidR="003465D6" w:rsidRDefault="003465D6" w:rsidP="00F16266">
      <w:pPr>
        <w:spacing w:after="0"/>
      </w:pPr>
      <w:r>
        <w:separator/>
      </w:r>
    </w:p>
  </w:endnote>
  <w:endnote w:type="continuationSeparator" w:id="0">
    <w:p w14:paraId="5562516C" w14:textId="77777777" w:rsidR="003465D6" w:rsidRDefault="003465D6" w:rsidP="00F162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E06C3" w14:textId="77777777" w:rsidR="003465D6" w:rsidRDefault="003465D6" w:rsidP="00F16266">
      <w:pPr>
        <w:spacing w:after="0"/>
      </w:pPr>
      <w:r>
        <w:separator/>
      </w:r>
    </w:p>
  </w:footnote>
  <w:footnote w:type="continuationSeparator" w:id="0">
    <w:p w14:paraId="3DA62093" w14:textId="77777777" w:rsidR="003465D6" w:rsidRDefault="003465D6" w:rsidP="00F162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1C32"/>
    <w:multiLevelType w:val="hybridMultilevel"/>
    <w:tmpl w:val="10D4FB6A"/>
    <w:lvl w:ilvl="0" w:tplc="EDB003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D1603"/>
    <w:multiLevelType w:val="hybridMultilevel"/>
    <w:tmpl w:val="2D30E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D4485"/>
    <w:multiLevelType w:val="hybridMultilevel"/>
    <w:tmpl w:val="CEE239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D402E"/>
    <w:multiLevelType w:val="hybridMultilevel"/>
    <w:tmpl w:val="AF889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DA023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6F0"/>
    <w:rsid w:val="00002E4E"/>
    <w:rsid w:val="000102D1"/>
    <w:rsid w:val="00010A3C"/>
    <w:rsid w:val="00070BEF"/>
    <w:rsid w:val="00074C55"/>
    <w:rsid w:val="00085225"/>
    <w:rsid w:val="00090F48"/>
    <w:rsid w:val="0009316F"/>
    <w:rsid w:val="000A14BB"/>
    <w:rsid w:val="000D2CB1"/>
    <w:rsid w:val="0012565F"/>
    <w:rsid w:val="0014114D"/>
    <w:rsid w:val="001437E0"/>
    <w:rsid w:val="00143F9C"/>
    <w:rsid w:val="00145A4C"/>
    <w:rsid w:val="0014646C"/>
    <w:rsid w:val="00157368"/>
    <w:rsid w:val="00171B7B"/>
    <w:rsid w:val="00171EAF"/>
    <w:rsid w:val="00193081"/>
    <w:rsid w:val="001B7A2B"/>
    <w:rsid w:val="001C6153"/>
    <w:rsid w:val="001C7D1F"/>
    <w:rsid w:val="001E1034"/>
    <w:rsid w:val="001F6030"/>
    <w:rsid w:val="001F68E9"/>
    <w:rsid w:val="00215670"/>
    <w:rsid w:val="00220E8F"/>
    <w:rsid w:val="002255D7"/>
    <w:rsid w:val="00230716"/>
    <w:rsid w:val="00230C04"/>
    <w:rsid w:val="00240211"/>
    <w:rsid w:val="00241E68"/>
    <w:rsid w:val="0024249E"/>
    <w:rsid w:val="00243C14"/>
    <w:rsid w:val="00244660"/>
    <w:rsid w:val="00256108"/>
    <w:rsid w:val="00261678"/>
    <w:rsid w:val="00264633"/>
    <w:rsid w:val="00276AC9"/>
    <w:rsid w:val="002848B3"/>
    <w:rsid w:val="002856CA"/>
    <w:rsid w:val="00286B46"/>
    <w:rsid w:val="002874BC"/>
    <w:rsid w:val="002A1586"/>
    <w:rsid w:val="002B1303"/>
    <w:rsid w:val="002B276B"/>
    <w:rsid w:val="002C41C4"/>
    <w:rsid w:val="002C578E"/>
    <w:rsid w:val="002C7C53"/>
    <w:rsid w:val="002C7D7D"/>
    <w:rsid w:val="002D5423"/>
    <w:rsid w:val="002E49F5"/>
    <w:rsid w:val="002F24A7"/>
    <w:rsid w:val="00311B5E"/>
    <w:rsid w:val="00316213"/>
    <w:rsid w:val="003352B9"/>
    <w:rsid w:val="003465D6"/>
    <w:rsid w:val="00355004"/>
    <w:rsid w:val="00380645"/>
    <w:rsid w:val="00391EB3"/>
    <w:rsid w:val="003929E7"/>
    <w:rsid w:val="003C1946"/>
    <w:rsid w:val="003D2322"/>
    <w:rsid w:val="003F7CDF"/>
    <w:rsid w:val="0041266A"/>
    <w:rsid w:val="004175D4"/>
    <w:rsid w:val="004230AE"/>
    <w:rsid w:val="004276EA"/>
    <w:rsid w:val="004402B8"/>
    <w:rsid w:val="0044132B"/>
    <w:rsid w:val="004453BF"/>
    <w:rsid w:val="00447A73"/>
    <w:rsid w:val="004659B0"/>
    <w:rsid w:val="00466DB9"/>
    <w:rsid w:val="00471692"/>
    <w:rsid w:val="0047228F"/>
    <w:rsid w:val="00490481"/>
    <w:rsid w:val="00492250"/>
    <w:rsid w:val="00493FBA"/>
    <w:rsid w:val="004A609E"/>
    <w:rsid w:val="004C104B"/>
    <w:rsid w:val="004C2780"/>
    <w:rsid w:val="004C6976"/>
    <w:rsid w:val="00507189"/>
    <w:rsid w:val="005077EF"/>
    <w:rsid w:val="005118ED"/>
    <w:rsid w:val="00554DF8"/>
    <w:rsid w:val="0055717E"/>
    <w:rsid w:val="0056716B"/>
    <w:rsid w:val="00593DE2"/>
    <w:rsid w:val="00594333"/>
    <w:rsid w:val="005A3015"/>
    <w:rsid w:val="005A409E"/>
    <w:rsid w:val="005D00F4"/>
    <w:rsid w:val="005D47ED"/>
    <w:rsid w:val="005F0102"/>
    <w:rsid w:val="005F09FB"/>
    <w:rsid w:val="005F30FC"/>
    <w:rsid w:val="005F7A57"/>
    <w:rsid w:val="00600F2C"/>
    <w:rsid w:val="00601483"/>
    <w:rsid w:val="0061606C"/>
    <w:rsid w:val="0061794E"/>
    <w:rsid w:val="00627EBE"/>
    <w:rsid w:val="00630370"/>
    <w:rsid w:val="0064090A"/>
    <w:rsid w:val="006414C7"/>
    <w:rsid w:val="00641DA6"/>
    <w:rsid w:val="006441F7"/>
    <w:rsid w:val="0064799B"/>
    <w:rsid w:val="0066016D"/>
    <w:rsid w:val="00665C2D"/>
    <w:rsid w:val="0069342F"/>
    <w:rsid w:val="006E46C4"/>
    <w:rsid w:val="006F36F0"/>
    <w:rsid w:val="006F52D0"/>
    <w:rsid w:val="00712477"/>
    <w:rsid w:val="00732A7B"/>
    <w:rsid w:val="0073680C"/>
    <w:rsid w:val="0074367C"/>
    <w:rsid w:val="007548BA"/>
    <w:rsid w:val="00760107"/>
    <w:rsid w:val="0076463A"/>
    <w:rsid w:val="0077027C"/>
    <w:rsid w:val="00776870"/>
    <w:rsid w:val="00784309"/>
    <w:rsid w:val="007A4E48"/>
    <w:rsid w:val="007B47D8"/>
    <w:rsid w:val="007D7512"/>
    <w:rsid w:val="007D793C"/>
    <w:rsid w:val="007F410D"/>
    <w:rsid w:val="00802EC3"/>
    <w:rsid w:val="00827C96"/>
    <w:rsid w:val="008449C2"/>
    <w:rsid w:val="0087065F"/>
    <w:rsid w:val="00875A90"/>
    <w:rsid w:val="00881846"/>
    <w:rsid w:val="008975CB"/>
    <w:rsid w:val="00897837"/>
    <w:rsid w:val="008979F5"/>
    <w:rsid w:val="008A1656"/>
    <w:rsid w:val="008A7BB4"/>
    <w:rsid w:val="008B0432"/>
    <w:rsid w:val="008C56B7"/>
    <w:rsid w:val="008D2F70"/>
    <w:rsid w:val="008E03F8"/>
    <w:rsid w:val="008E520E"/>
    <w:rsid w:val="008F3B15"/>
    <w:rsid w:val="008F7FE4"/>
    <w:rsid w:val="0090046F"/>
    <w:rsid w:val="0090693F"/>
    <w:rsid w:val="00923EA3"/>
    <w:rsid w:val="00926467"/>
    <w:rsid w:val="00927964"/>
    <w:rsid w:val="00930DF8"/>
    <w:rsid w:val="00931BD5"/>
    <w:rsid w:val="009342F3"/>
    <w:rsid w:val="00937EBD"/>
    <w:rsid w:val="00942C9D"/>
    <w:rsid w:val="009547C7"/>
    <w:rsid w:val="00956876"/>
    <w:rsid w:val="009668ED"/>
    <w:rsid w:val="00967444"/>
    <w:rsid w:val="009678CC"/>
    <w:rsid w:val="00981DA1"/>
    <w:rsid w:val="009834E4"/>
    <w:rsid w:val="00984F8D"/>
    <w:rsid w:val="00990D6C"/>
    <w:rsid w:val="00995323"/>
    <w:rsid w:val="009A7D15"/>
    <w:rsid w:val="009B36C8"/>
    <w:rsid w:val="009C0445"/>
    <w:rsid w:val="009C4DAD"/>
    <w:rsid w:val="009C4DFF"/>
    <w:rsid w:val="009D1723"/>
    <w:rsid w:val="009F648B"/>
    <w:rsid w:val="00A0691A"/>
    <w:rsid w:val="00A45954"/>
    <w:rsid w:val="00A54379"/>
    <w:rsid w:val="00A55B71"/>
    <w:rsid w:val="00A6066D"/>
    <w:rsid w:val="00A70CD7"/>
    <w:rsid w:val="00A85810"/>
    <w:rsid w:val="00A868F6"/>
    <w:rsid w:val="00A91C4C"/>
    <w:rsid w:val="00AA22A0"/>
    <w:rsid w:val="00AA663C"/>
    <w:rsid w:val="00AB4670"/>
    <w:rsid w:val="00AC2225"/>
    <w:rsid w:val="00AD53B6"/>
    <w:rsid w:val="00AF5B58"/>
    <w:rsid w:val="00B0277F"/>
    <w:rsid w:val="00B04133"/>
    <w:rsid w:val="00B044C2"/>
    <w:rsid w:val="00B15A8E"/>
    <w:rsid w:val="00B266CE"/>
    <w:rsid w:val="00B35461"/>
    <w:rsid w:val="00B533A7"/>
    <w:rsid w:val="00B62E68"/>
    <w:rsid w:val="00B81B87"/>
    <w:rsid w:val="00B822B0"/>
    <w:rsid w:val="00B85270"/>
    <w:rsid w:val="00B857EA"/>
    <w:rsid w:val="00B870A9"/>
    <w:rsid w:val="00B90697"/>
    <w:rsid w:val="00B92123"/>
    <w:rsid w:val="00BA0B6E"/>
    <w:rsid w:val="00BA1167"/>
    <w:rsid w:val="00BB2332"/>
    <w:rsid w:val="00BB48D3"/>
    <w:rsid w:val="00BB5682"/>
    <w:rsid w:val="00BC487C"/>
    <w:rsid w:val="00BD41EB"/>
    <w:rsid w:val="00BE0A47"/>
    <w:rsid w:val="00BE1F4C"/>
    <w:rsid w:val="00BE3C2D"/>
    <w:rsid w:val="00BE45C1"/>
    <w:rsid w:val="00BE50E9"/>
    <w:rsid w:val="00BF4F31"/>
    <w:rsid w:val="00C3024C"/>
    <w:rsid w:val="00C37C4B"/>
    <w:rsid w:val="00C47BA2"/>
    <w:rsid w:val="00C53645"/>
    <w:rsid w:val="00C53A97"/>
    <w:rsid w:val="00C53E7F"/>
    <w:rsid w:val="00C6252C"/>
    <w:rsid w:val="00C62F19"/>
    <w:rsid w:val="00C7143D"/>
    <w:rsid w:val="00C862D8"/>
    <w:rsid w:val="00C94695"/>
    <w:rsid w:val="00C95233"/>
    <w:rsid w:val="00CF64E2"/>
    <w:rsid w:val="00D034A9"/>
    <w:rsid w:val="00D03951"/>
    <w:rsid w:val="00D050EF"/>
    <w:rsid w:val="00D147D4"/>
    <w:rsid w:val="00D173B1"/>
    <w:rsid w:val="00D514D4"/>
    <w:rsid w:val="00D541FB"/>
    <w:rsid w:val="00D54D2E"/>
    <w:rsid w:val="00D57B99"/>
    <w:rsid w:val="00D723C4"/>
    <w:rsid w:val="00D76BC4"/>
    <w:rsid w:val="00D90AC2"/>
    <w:rsid w:val="00D92EE3"/>
    <w:rsid w:val="00D9301F"/>
    <w:rsid w:val="00DB0727"/>
    <w:rsid w:val="00DC7646"/>
    <w:rsid w:val="00DE4BFE"/>
    <w:rsid w:val="00DE7A17"/>
    <w:rsid w:val="00DF58A4"/>
    <w:rsid w:val="00E05759"/>
    <w:rsid w:val="00E065B7"/>
    <w:rsid w:val="00E15960"/>
    <w:rsid w:val="00E26BEA"/>
    <w:rsid w:val="00E26D2C"/>
    <w:rsid w:val="00E40563"/>
    <w:rsid w:val="00E47483"/>
    <w:rsid w:val="00E60B40"/>
    <w:rsid w:val="00E705C8"/>
    <w:rsid w:val="00E7296E"/>
    <w:rsid w:val="00E76E0B"/>
    <w:rsid w:val="00E82708"/>
    <w:rsid w:val="00E842C2"/>
    <w:rsid w:val="00E8491C"/>
    <w:rsid w:val="00E874A8"/>
    <w:rsid w:val="00EB6ED6"/>
    <w:rsid w:val="00ED02A8"/>
    <w:rsid w:val="00ED5CC5"/>
    <w:rsid w:val="00EE1546"/>
    <w:rsid w:val="00EE383C"/>
    <w:rsid w:val="00EE6AEC"/>
    <w:rsid w:val="00EF7E25"/>
    <w:rsid w:val="00F056D0"/>
    <w:rsid w:val="00F13D09"/>
    <w:rsid w:val="00F16266"/>
    <w:rsid w:val="00F23FD3"/>
    <w:rsid w:val="00F25D18"/>
    <w:rsid w:val="00F51AF5"/>
    <w:rsid w:val="00F67E7B"/>
    <w:rsid w:val="00F770DD"/>
    <w:rsid w:val="00F94A36"/>
    <w:rsid w:val="00FA5179"/>
    <w:rsid w:val="00FB1467"/>
    <w:rsid w:val="00FB2D91"/>
    <w:rsid w:val="00FB654C"/>
    <w:rsid w:val="00FB7719"/>
    <w:rsid w:val="00FB777F"/>
    <w:rsid w:val="00FC5588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CDFE6"/>
  <w15:docId w15:val="{C76527A8-DE66-40C2-8B4C-C7F2A38E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2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2"/>
    <w:qFormat/>
    <w:rsid w:val="00F16266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FDA023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FDA023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465E9C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465E9C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FDA023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FDA023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465E9C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465E9C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D57B02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FDA023" w:themeColor="accent1"/>
          <w:left w:val="nil"/>
          <w:bottom w:val="single" w:sz="8" w:space="0" w:color="FDA0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A023" w:themeColor="accent1"/>
          <w:left w:val="nil"/>
          <w:bottom w:val="single" w:sz="8" w:space="0" w:color="FDA0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7C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2B1E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FDA023" w:themeColor="accent1"/>
        <w:left w:val="single" w:sz="8" w:space="0" w:color="FDA023" w:themeColor="accent1"/>
        <w:bottom w:val="single" w:sz="8" w:space="0" w:color="FDA023" w:themeColor="accent1"/>
        <w:right w:val="single" w:sz="8" w:space="0" w:color="FDA02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A0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band1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D57B02" w:themeColor="accent1" w:themeShade="BF"/>
    </w:rPr>
    <w:tblPr>
      <w:tblStyleRowBandSize w:val="1"/>
      <w:tblStyleColBandSize w:val="1"/>
      <w:tblBorders>
        <w:top w:val="single" w:sz="8" w:space="0" w:color="FDA023" w:themeColor="accent1"/>
        <w:bottom w:val="single" w:sz="8" w:space="0" w:color="FDA02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A023" w:themeColor="accent1"/>
          <w:left w:val="nil"/>
          <w:bottom w:val="single" w:sz="8" w:space="0" w:color="FDA0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A023" w:themeColor="accent1"/>
          <w:left w:val="nil"/>
          <w:bottom w:val="single" w:sz="8" w:space="0" w:color="FDA0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7C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7C8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FDA0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band1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FDA023" w:themeColor="accent1"/>
        <w:left w:val="single" w:sz="8" w:space="0" w:color="FDA023" w:themeColor="accent1"/>
        <w:bottom w:val="single" w:sz="8" w:space="0" w:color="FDA023" w:themeColor="accent1"/>
        <w:right w:val="single" w:sz="8" w:space="0" w:color="FDA023" w:themeColor="accent1"/>
        <w:insideH w:val="single" w:sz="8" w:space="0" w:color="FDA023" w:themeColor="accent1"/>
        <w:insideV w:val="single" w:sz="8" w:space="0" w:color="FDA02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1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band1Vert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  <w:shd w:val="clear" w:color="auto" w:fill="FEE7C8" w:themeFill="accent1" w:themeFillTint="3F"/>
      </w:tcPr>
    </w:tblStylePr>
    <w:tblStylePr w:type="band1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  <w:shd w:val="clear" w:color="auto" w:fill="FEE7C8" w:themeFill="accent1" w:themeFillTint="3F"/>
      </w:tcPr>
    </w:tblStylePr>
    <w:tblStylePr w:type="band2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FDA023" w:themeColor="accent1"/>
          <w:left w:val="single" w:sz="8" w:space="0" w:color="FDA023" w:themeColor="accent1"/>
          <w:bottom w:val="single" w:sz="1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band1Vert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  <w:shd w:val="clear" w:color="auto" w:fill="FEE7C8" w:themeFill="accent1" w:themeFillTint="3F"/>
      </w:tcPr>
    </w:tblStylePr>
    <w:tblStylePr w:type="band1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  <w:shd w:val="clear" w:color="auto" w:fill="AA2B1E" w:themeFill="accent2"/>
      </w:tcPr>
    </w:tblStylePr>
    <w:tblStylePr w:type="band2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FDB75A" w:themeColor="accent1" w:themeTint="BF"/>
        <w:left w:val="single" w:sz="8" w:space="0" w:color="FDB75A" w:themeColor="accent1" w:themeTint="BF"/>
        <w:bottom w:val="single" w:sz="8" w:space="0" w:color="FDB75A" w:themeColor="accent1" w:themeTint="BF"/>
        <w:right w:val="single" w:sz="8" w:space="0" w:color="FDB75A" w:themeColor="accent1" w:themeTint="BF"/>
        <w:insideH w:val="single" w:sz="8" w:space="0" w:color="FDB75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B75A" w:themeColor="accent1" w:themeTint="BF"/>
          <w:left w:val="single" w:sz="8" w:space="0" w:color="FDB75A" w:themeColor="accent1" w:themeTint="BF"/>
          <w:bottom w:val="single" w:sz="8" w:space="0" w:color="FDB75A" w:themeColor="accent1" w:themeTint="BF"/>
          <w:right w:val="single" w:sz="8" w:space="0" w:color="FDB75A" w:themeColor="accent1" w:themeTint="BF"/>
          <w:insideH w:val="nil"/>
          <w:insideV w:val="nil"/>
        </w:tcBorders>
        <w:shd w:val="clear" w:color="auto" w:fill="FDA0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75A" w:themeColor="accent1" w:themeTint="BF"/>
          <w:left w:val="single" w:sz="8" w:space="0" w:color="FDB75A" w:themeColor="accent1" w:themeTint="BF"/>
          <w:bottom w:val="single" w:sz="8" w:space="0" w:color="FDB75A" w:themeColor="accent1" w:themeTint="BF"/>
          <w:right w:val="single" w:sz="8" w:space="0" w:color="FDB75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C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7C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FDB75A" w:themeColor="accent1" w:themeTint="BF"/>
          <w:left w:val="single" w:sz="8" w:space="0" w:color="FDB75A" w:themeColor="accent1" w:themeTint="BF"/>
          <w:bottom w:val="single" w:sz="8" w:space="0" w:color="FDB75A" w:themeColor="accent1" w:themeTint="BF"/>
          <w:right w:val="single" w:sz="8" w:space="0" w:color="FDB75A" w:themeColor="accent1" w:themeTint="BF"/>
          <w:insideH w:val="nil"/>
          <w:insideV w:val="nil"/>
        </w:tcBorders>
        <w:shd w:val="clear" w:color="auto" w:fill="FDA0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75A" w:themeColor="accent1" w:themeTint="BF"/>
          <w:left w:val="single" w:sz="8" w:space="0" w:color="FDB75A" w:themeColor="accent1" w:themeTint="BF"/>
          <w:bottom w:val="single" w:sz="8" w:space="0" w:color="FDB75A" w:themeColor="accent1" w:themeTint="BF"/>
          <w:right w:val="single" w:sz="8" w:space="0" w:color="FDB75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C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AA2B1E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DA023" w:themeColor="accent1"/>
        <w:bottom w:val="single" w:sz="8" w:space="0" w:color="FDA02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A023" w:themeColor="accent1"/>
        </w:tcBorders>
      </w:tcPr>
    </w:tblStylePr>
    <w:tblStylePr w:type="lastRow">
      <w:rPr>
        <w:b/>
        <w:bCs/>
        <w:color w:val="465E9C" w:themeColor="text2"/>
      </w:rPr>
      <w:tblPr/>
      <w:tcPr>
        <w:tcBorders>
          <w:top w:val="single" w:sz="8" w:space="0" w:color="FDA023" w:themeColor="accent1"/>
          <w:bottom w:val="single" w:sz="8" w:space="0" w:color="FDA0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A023" w:themeColor="accent1"/>
          <w:bottom w:val="single" w:sz="8" w:space="0" w:color="FDA023" w:themeColor="accent1"/>
        </w:tcBorders>
      </w:tcPr>
    </w:tblStylePr>
    <w:tblStylePr w:type="band1Vert">
      <w:tblPr/>
      <w:tcPr>
        <w:shd w:val="clear" w:color="auto" w:fill="FEE7C8" w:themeFill="accent1" w:themeFillTint="3F"/>
      </w:tcPr>
    </w:tblStylePr>
    <w:tblStylePr w:type="band1Horz">
      <w:tblPr/>
      <w:tcPr>
        <w:shd w:val="clear" w:color="auto" w:fill="FEE7C8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FDA023" w:themeColor="accent1"/>
        </w:tcBorders>
      </w:tcPr>
    </w:tblStylePr>
    <w:tblStylePr w:type="lastRow">
      <w:rPr>
        <w:b/>
        <w:bCs/>
        <w:color w:val="465E9C" w:themeColor="text2"/>
      </w:rPr>
      <w:tblPr/>
      <w:tcPr>
        <w:tcBorders>
          <w:top w:val="single" w:sz="8" w:space="0" w:color="FDA023" w:themeColor="accent1"/>
          <w:bottom w:val="single" w:sz="8" w:space="0" w:color="FDA0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A023" w:themeColor="accent1"/>
          <w:bottom w:val="single" w:sz="8" w:space="0" w:color="FDA023" w:themeColor="accent1"/>
        </w:tcBorders>
      </w:tcPr>
    </w:tblStylePr>
    <w:tblStylePr w:type="band1Vert">
      <w:tblPr/>
      <w:tcPr>
        <w:shd w:val="clear" w:color="auto" w:fill="FEE7C8" w:themeFill="accent1" w:themeFillTint="3F"/>
      </w:tcPr>
    </w:tblStylePr>
    <w:tblStylePr w:type="band1Horz">
      <w:tblPr/>
      <w:tcPr>
        <w:shd w:val="clear" w:color="auto" w:fill="AA2B1E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FDA02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A02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A02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A02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7C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2B1E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A023" w:themeColor="accent1"/>
        <w:left w:val="single" w:sz="8" w:space="0" w:color="FDA023" w:themeColor="accent1"/>
        <w:bottom w:val="single" w:sz="8" w:space="0" w:color="FDA023" w:themeColor="accent1"/>
        <w:right w:val="single" w:sz="8" w:space="0" w:color="FDA02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A02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A02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A02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A02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7C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7C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6F36F0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semiHidden/>
    <w:rsid w:val="00F1626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626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F1626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6266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rsid w:val="00F16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162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26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16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266"/>
    <w:rPr>
      <w:rFonts w:ascii="Arial" w:hAnsi="Arial"/>
      <w:b/>
      <w:bCs/>
      <w:sz w:val="20"/>
      <w:szCs w:val="20"/>
    </w:rPr>
  </w:style>
  <w:style w:type="paragraph" w:styleId="Caption">
    <w:name w:val="caption"/>
    <w:basedOn w:val="Normal"/>
    <w:next w:val="Normal"/>
    <w:qFormat/>
    <w:rsid w:val="005D47ED"/>
    <w:pPr>
      <w:spacing w:after="0" w:line="360" w:lineRule="auto"/>
    </w:pPr>
    <w:rPr>
      <w:rFonts w:eastAsia="Cambria" w:cs="Times New Roman"/>
      <w:b/>
      <w:szCs w:val="20"/>
    </w:rPr>
  </w:style>
  <w:style w:type="character" w:styleId="FollowedHyperlink">
    <w:name w:val="FollowedHyperlink"/>
    <w:basedOn w:val="DefaultParagraphFont"/>
    <w:uiPriority w:val="99"/>
    <w:semiHidden/>
    <w:rsid w:val="00E842C2"/>
    <w:rPr>
      <w:color w:val="ED7D27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2.health.wa.gov.au/~/media/Corp/Documents/Health-for/Infectious-disease/OZfoodnet/Word/WA-OzFoodnet-appendix1-2020-Q4.docx" TargetMode="External"/><Relationship Id="rId18" Type="http://schemas.openxmlformats.org/officeDocument/2006/relationships/hyperlink" Target="https://ww2.health.wa.gov.au/~/media/Corp/Documents/Health-for/Infectious-disease/OZfoodnet/Word/WA-OzFoodnet-appendix2-2020-Q4.doc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2.health.wa.gov.au/~/media/Corp/Documents/Health-for/Infectious-disease/OZfoodnet/Word/WA-OzFoodnet-appendix1-2020-Q4.docx" TargetMode="External"/><Relationship Id="rId17" Type="http://schemas.openxmlformats.org/officeDocument/2006/relationships/hyperlink" Target="https://ww2.health.wa.gov.au/~/media/Corp/Documents/Health-for/Infectious-disease/OZfoodnet/Word/WA-OzFoodnet-appendix2-2020-Q4.doc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Pushpin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E7C20-9B55-4C6B-AA0E-060F1D327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Witham, Benjamin</dc:creator>
  <cp:keywords/>
  <dc:description/>
  <cp:lastModifiedBy>Jasinski, Jeremy</cp:lastModifiedBy>
  <cp:revision>5</cp:revision>
  <cp:lastPrinted>2021-07-29T04:51:00Z</cp:lastPrinted>
  <dcterms:created xsi:type="dcterms:W3CDTF">2021-08-02T02:26:00Z</dcterms:created>
  <dcterms:modified xsi:type="dcterms:W3CDTF">2021-08-05T07:12:00Z</dcterms:modified>
</cp:coreProperties>
</file>